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w:t>
      </w:r>
    </w:p>
    <w:p w:rsidR="00000000" w:rsidDel="00000000" w:rsidP="00000000" w:rsidRDefault="00000000" w:rsidRPr="00000000" w14:paraId="00000006">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orden de superior.</w:t>
      </w:r>
    </w:p>
    <w:p w:rsidR="00000000" w:rsidDel="00000000" w:rsidP="00000000" w:rsidRDefault="00000000" w:rsidRPr="00000000" w14:paraId="0000000A">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Encabezado </w:t>
      </w:r>
    </w:p>
    <w:p w:rsidR="00000000" w:rsidDel="00000000" w:rsidP="00000000" w:rsidRDefault="00000000" w:rsidRPr="00000000" w14:paraId="0000000D">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identificadx con la cédula número ____ de _____, radico ante esta oficina de control interno 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F">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hecho </w:t>
      </w:r>
    </w:p>
    <w:p w:rsidR="00000000" w:rsidDel="00000000" w:rsidP="00000000" w:rsidRDefault="00000000" w:rsidRPr="00000000" w14:paraId="00000011">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numPr>
          <w:ilvl w:val="0"/>
          <w:numId w:val="6"/>
        </w:numPr>
        <w:ind w:left="720" w:hanging="36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3">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5">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libertad de conciencia. </w:t>
      </w:r>
    </w:p>
    <w:p w:rsidR="00000000" w:rsidDel="00000000" w:rsidP="00000000" w:rsidRDefault="00000000" w:rsidRPr="00000000" w14:paraId="0000001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incluídas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p>
    <w:p w:rsidR="00000000" w:rsidDel="00000000" w:rsidP="00000000" w:rsidRDefault="00000000" w:rsidRPr="00000000" w14:paraId="00000019">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p>
    <w:p w:rsidR="00000000" w:rsidDel="00000000" w:rsidP="00000000" w:rsidRDefault="00000000" w:rsidRPr="00000000" w14:paraId="0000001B">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D">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Pacto Internacional de Derechos Civiles y Políticos en el artículo 18, norma perteneciente al bloque de constitucionalidad, asevera:  </w:t>
      </w:r>
    </w:p>
    <w:p w:rsidR="00000000" w:rsidDel="00000000" w:rsidP="00000000" w:rsidRDefault="00000000" w:rsidRPr="00000000" w14:paraId="0000001E">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F">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20">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1">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 algunas situaciones en que se puede presentar y los derechos que de esta descienden.</w:t>
      </w:r>
    </w:p>
    <w:p w:rsidR="00000000" w:rsidDel="00000000" w:rsidP="00000000" w:rsidRDefault="00000000" w:rsidRPr="00000000" w14:paraId="00000022">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0"/>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3">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es un derecho autónomo y nominado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4">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5">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6">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7">
      <w:pPr>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8">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irrespetado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9">
      <w:pPr>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r w:rsidDel="00000000" w:rsidR="00000000" w:rsidRPr="00000000">
        <w:rPr>
          <w:rtl w:val="0"/>
        </w:rPr>
      </w:r>
    </w:p>
    <w:p w:rsidR="00000000" w:rsidDel="00000000" w:rsidP="00000000" w:rsidRDefault="00000000" w:rsidRPr="00000000" w14:paraId="0000002A">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B">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C">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D">
      <w:pPr>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Éste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E">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F">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numPr>
          <w:ilvl w:val="0"/>
          <w:numId w:val="2"/>
        </w:numPr>
        <w:spacing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Violaciones a DDHH y DDFF.</w:t>
      </w:r>
      <w:r w:rsidDel="00000000" w:rsidR="00000000" w:rsidRPr="00000000">
        <w:rPr>
          <w:rtl w:val="0"/>
        </w:rPr>
      </w:r>
    </w:p>
    <w:p w:rsidR="00000000" w:rsidDel="00000000" w:rsidP="00000000" w:rsidRDefault="00000000" w:rsidRPr="00000000" w14:paraId="00000031">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Como se manifiesta en el acápite correspondiente a las ordenes ilegítimas, éstas son aquellas que comportan una violación a la Constitución, la Ley, las normas institucionales o las ordenes legitimas de un superior. En este mismo sentido, una orden de cuyo cumplimiento se deriva la violación de un derecho contenido en la Constitución o en el bloque de constitucionalidad se traduce en una violación directa de la Constitución y, por tanto, se convierte en una orden ilegítima.</w:t>
      </w:r>
    </w:p>
    <w:p w:rsidR="00000000" w:rsidDel="00000000" w:rsidP="00000000" w:rsidRDefault="00000000" w:rsidRPr="00000000" w14:paraId="00000032">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3">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el caso puntual, las órdenes dictadas a miembros de la Policía Nacional y las FFMM que impliquen la afectación o violación a un derecho humano o fundamental, son abiertamente ilegitimas y, en consecuencia, no deben ser acatadas por la persona que la recibe. </w:t>
      </w:r>
    </w:p>
    <w:p w:rsidR="00000000" w:rsidDel="00000000" w:rsidP="00000000" w:rsidRDefault="00000000" w:rsidRPr="00000000" w14:paraId="00000034">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5">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sentido, es importante resaltar que la Convención Americana de Derechos Humanos presupone tres obligaciones para los Estados. Así, se encuentra una obligación de respeto, es decir, la obligación según la cual ningún agente del Estado puede violar los derechos. En este mismo sentido, se encuentra una obligación de garantía referida a que el Estado debe garantizar que nadie viole o afecte los derechos humanos y, si ello sucede, debe cumplir con su obligación de investigar, juzgar y sancionar. Finalmente, la Convención contiene una obligación complementaria que obliga a los Estados parte a adoptar todas las medidas pertinentes para garantizar el pleno y libre ejercicio de los derechos. </w:t>
      </w:r>
    </w:p>
    <w:p w:rsidR="00000000" w:rsidDel="00000000" w:rsidP="00000000" w:rsidRDefault="00000000" w:rsidRPr="00000000" w14:paraId="00000036">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7">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Siguiendo esta línea, la Corte IDH ha manifestado que: “(…) los Estados tienen la obligación de garantizar la creación de las condiciones que se requieran para que no se produzcan violaciones de ese derecho inalienable y, en particular, el deber de impedir que sus agentes atenten contra el mismo.</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8">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9">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Puntualmente, en el caso de uso de armas, este mismo Tribunal ha dicho que, en principio, su uso debe estar prohibido y solo se permitirá en situaciones específicas en las que la vida de un tercero o del agente se encuentre en riesgo. Adicionalmente: “(s)u uso excepcional deberá estar formulado por ley, y ser interpretado restrictivamente de manera que sea minimizado en toda circunstancia, no siendo más que el “absolutamente necesario” en relación con la fuerza o amenaza que se pretende repeler. Cuando se usa fuerza excesiva toda privación de la vida resultante es arbitraria.</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A">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B">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Aunado a esto, es menester enfatizar que, en todo caso, el Estado se encuentra obligado a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 Dicha obligación se torna aún más estricta cuando los agentes del estado son quienes han cometido la violación de un derecho fundamental. </w:t>
      </w:r>
    </w:p>
    <w:p w:rsidR="00000000" w:rsidDel="00000000" w:rsidP="00000000" w:rsidRDefault="00000000" w:rsidRPr="00000000" w14:paraId="0000003C">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De esta manera, sobre este tema, la Corte Constitucional ha manifestado que: </w:t>
      </w:r>
      <w:r w:rsidDel="00000000" w:rsidR="00000000" w:rsidRPr="00000000">
        <w:rPr>
          <w:rFonts w:ascii="Book Antiqua" w:cs="Book Antiqua" w:eastAsia="Book Antiqua" w:hAnsi="Book Antiqua"/>
          <w:sz w:val="24"/>
          <w:szCs w:val="24"/>
          <w:highlight w:val="white"/>
          <w:rtl w:val="0"/>
        </w:rPr>
        <w:t xml:space="preserve">“(e)l acatamiento y cumplimento estricto de órdenes ilegítimas, viola los derechos fundamentales de las víctimas de los actos realizados, lo mismo que la libertad de conciencia de los agentes que las llevan a cabo. Adicionalmente, quebranta el principio de responsabilidad de los servidores públicos (C.P. art. 6), al prohijar la omisión o extralimitación en el ejercicio de las funciones estatales.</w:t>
      </w:r>
      <w:r w:rsidDel="00000000" w:rsidR="00000000" w:rsidRPr="00000000">
        <w:rPr>
          <w:rFonts w:ascii="Book Antiqua" w:cs="Book Antiqua" w:eastAsia="Book Antiqua" w:hAnsi="Book Antiqua"/>
          <w:sz w:val="24"/>
          <w:szCs w:val="24"/>
          <w:highlight w:val="white"/>
          <w:vertAlign w:val="superscript"/>
        </w:rPr>
        <w:footnoteReference w:customMarkFollows="0" w:id="12"/>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3E">
      <w:pPr>
        <w:spacing w:line="259" w:lineRule="auto"/>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3F">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Con todo, cabe destacar que una violación a un derecho humano o fundamental es toda acción u omisión que atente, desconozca o afecta negativamente un derecho reconocido en la Constitución, la jurisprudencia constitucional o el bloque de constitucionalidad. De modo que, aquella orden que contenga una acción u omisión que afecte un derecho es ilegítima y no reviste obligatoriedad. </w:t>
      </w:r>
      <w:r w:rsidDel="00000000" w:rsidR="00000000" w:rsidRPr="00000000">
        <w:rPr>
          <w:rtl w:val="0"/>
        </w:rPr>
      </w:r>
    </w:p>
    <w:p w:rsidR="00000000" w:rsidDel="00000000" w:rsidP="00000000" w:rsidRDefault="00000000" w:rsidRPr="00000000" w14:paraId="00000040">
      <w:pPr>
        <w:spacing w:line="259" w:lineRule="auto"/>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numPr>
          <w:ilvl w:val="0"/>
          <w:numId w:val="2"/>
        </w:numPr>
        <w:spacing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Violencia basada en género y violencia sexual.</w:t>
      </w:r>
      <w:r w:rsidDel="00000000" w:rsidR="00000000" w:rsidRPr="00000000">
        <w:rPr>
          <w:rtl w:val="0"/>
        </w:rPr>
      </w:r>
    </w:p>
    <w:p w:rsidR="00000000" w:rsidDel="00000000" w:rsidP="00000000" w:rsidRDefault="00000000" w:rsidRPr="00000000" w14:paraId="00000043">
      <w:pPr>
        <w:spacing w:line="259"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4">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todo caso, debe destacarse que, una de las formas de violencia que se han evidenciado prominentemente en la intervención violenta de agentes del Estado en las manifestaciones públicas es la violencia basada en género –en adelante VBG- y, dentro de ella, la violencia sexual perpetrada por miembros de la Policía y FFMM.</w:t>
      </w:r>
    </w:p>
    <w:p w:rsidR="00000000" w:rsidDel="00000000" w:rsidP="00000000" w:rsidRDefault="00000000" w:rsidRPr="00000000" w14:paraId="00000045">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6">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Sobre esto, se ha dicho que: “(e)xiste una especial vulnerabilidad de la mujer frente a la violencia y a la discriminación, lo cual ha ocasionado que en muchos eventos se hayan utilizado estas circunstancias como estrategia de dominación.” </w:t>
      </w:r>
      <w:r w:rsidDel="00000000" w:rsidR="00000000" w:rsidRPr="00000000">
        <w:rPr>
          <w:rtl w:val="0"/>
        </w:rPr>
      </w:r>
    </w:p>
    <w:p w:rsidR="00000000" w:rsidDel="00000000" w:rsidP="00000000" w:rsidRDefault="00000000" w:rsidRPr="00000000" w14:paraId="0000004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esta razón, las violaciones a derechos en el marco de la coyuntura actual, deben ser estudiadas con un enfoque de género que permita entender las afectaciones diferenciadas que puede sufrir una mujer o una persona no binaria. En este sentido, es importante destacar que Colombia ha suscrito múltiples instrumentos internacionales que le obligan a garantizar los derechos de las mujeres y a adoptar todas las medidas tendientes a eliminar todas las formas de discriminación en contra de la mujer.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ffffff" w:val="clear"/>
        <w:spacing w:after="120" w:before="360" w:line="276" w:lineRule="auto"/>
        <w:ind w:left="0"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 tal forma, en la Convención sobre la Eliminación de Todas las Formas de Discriminación Contra la Mujer –CEDAW-, el Estado colombiano se obligó a: </w:t>
      </w:r>
      <w:r w:rsidDel="00000000" w:rsidR="00000000" w:rsidRPr="00000000">
        <w:rPr>
          <w:rtl w:val="0"/>
        </w:rPr>
      </w:r>
    </w:p>
    <w:p w:rsidR="00000000" w:rsidDel="00000000" w:rsidP="00000000" w:rsidRDefault="00000000" w:rsidRPr="00000000" w14:paraId="0000004B">
      <w:pPr>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sidDel="00000000" w:rsidR="00000000" w:rsidRPr="00000000">
        <w:rPr>
          <w:rFonts w:ascii="Book Antiqua" w:cs="Book Antiqua" w:eastAsia="Book Antiqua" w:hAnsi="Book Antiqua"/>
          <w:sz w:val="24"/>
          <w:szCs w:val="24"/>
          <w:highlight w:val="white"/>
          <w:vertAlign w:val="superscript"/>
        </w:rPr>
        <w:footnoteReference w:customMarkFollows="0" w:id="13"/>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4C">
      <w:pPr>
        <w:widowControl w:val="0"/>
        <w:tabs>
          <w:tab w:val="left" w:pos="720"/>
        </w:tabs>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D">
      <w:pPr>
        <w:widowControl w:val="0"/>
        <w:tabs>
          <w:tab w:val="left" w:pos="720"/>
        </w:tabs>
        <w:jc w:val="both"/>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sz w:val="24"/>
          <w:szCs w:val="24"/>
          <w:rtl w:val="0"/>
        </w:rPr>
        <w:t xml:space="preserve">Sobre esto, </w:t>
      </w:r>
      <w:r w:rsidDel="00000000" w:rsidR="00000000" w:rsidRPr="00000000">
        <w:rPr>
          <w:rFonts w:ascii="Book Antiqua" w:cs="Book Antiqua" w:eastAsia="Book Antiqua" w:hAnsi="Book Antiqua"/>
          <w:color w:val="000000"/>
          <w:sz w:val="24"/>
          <w:szCs w:val="24"/>
          <w:highlight w:val="white"/>
          <w:rtl w:val="0"/>
        </w:rPr>
        <w:t xml:space="preserve">el artículo 1 de la Declaración de la ONU sobre la Eliminación de la Violencia, define a la violencia de género de la siguiente manera: </w:t>
      </w:r>
    </w:p>
    <w:p w:rsidR="00000000" w:rsidDel="00000000" w:rsidP="00000000" w:rsidRDefault="00000000" w:rsidRPr="00000000" w14:paraId="0000004E">
      <w:pPr>
        <w:widowControl w:val="0"/>
        <w:tabs>
          <w:tab w:val="left" w:pos="720"/>
        </w:tabs>
        <w:jc w:val="both"/>
        <w:rPr>
          <w:rFonts w:ascii="Book Antiqua" w:cs="Book Antiqua" w:eastAsia="Book Antiqua" w:hAnsi="Book Antiqua"/>
          <w:color w:val="000000"/>
          <w:sz w:val="24"/>
          <w:szCs w:val="24"/>
          <w:highlight w:val="white"/>
        </w:rPr>
      </w:pPr>
      <w:r w:rsidDel="00000000" w:rsidR="00000000" w:rsidRPr="00000000">
        <w:rPr>
          <w:rtl w:val="0"/>
        </w:rPr>
      </w:r>
    </w:p>
    <w:p w:rsidR="00000000" w:rsidDel="00000000" w:rsidP="00000000" w:rsidRDefault="00000000" w:rsidRPr="00000000" w14:paraId="0000004F">
      <w:pPr>
        <w:widowControl w:val="0"/>
        <w:tabs>
          <w:tab w:val="left" w:pos="720"/>
        </w:tabs>
        <w:ind w:left="720" w:firstLine="0"/>
        <w:jc w:val="both"/>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color w:val="000000"/>
          <w:sz w:val="24"/>
          <w:szCs w:val="24"/>
          <w:highlight w:val="white"/>
          <w:rtl w:val="0"/>
        </w:rPr>
        <w:t xml:space="preserve">“Se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r w:rsidDel="00000000" w:rsidR="00000000" w:rsidRPr="00000000">
        <w:rPr>
          <w:rFonts w:ascii="Book Antiqua" w:cs="Book Antiqua" w:eastAsia="Book Antiqua" w:hAnsi="Book Antiqua"/>
          <w:color w:val="000000"/>
          <w:sz w:val="24"/>
          <w:szCs w:val="24"/>
          <w:highlight w:val="white"/>
          <w:vertAlign w:val="superscript"/>
        </w:rPr>
        <w:footnoteReference w:customMarkFollows="0" w:id="14"/>
      </w:r>
      <w:r w:rsidDel="00000000" w:rsidR="00000000" w:rsidRPr="00000000">
        <w:rPr>
          <w:rFonts w:ascii="Book Antiqua" w:cs="Book Antiqua" w:eastAsia="Book Antiqua" w:hAnsi="Book Antiqua"/>
          <w:color w:val="000000"/>
          <w:sz w:val="24"/>
          <w:szCs w:val="24"/>
          <w:highlight w:val="white"/>
          <w:rtl w:val="0"/>
        </w:rPr>
        <w:t xml:space="preserve">”</w:t>
      </w:r>
    </w:p>
    <w:p w:rsidR="00000000" w:rsidDel="00000000" w:rsidP="00000000" w:rsidRDefault="00000000" w:rsidRPr="00000000" w14:paraId="00000050">
      <w:pPr>
        <w:widowControl w:val="0"/>
        <w:tabs>
          <w:tab w:val="left" w:pos="720"/>
        </w:tabs>
        <w:ind w:left="720" w:firstLine="0"/>
        <w:jc w:val="both"/>
        <w:rPr>
          <w:rFonts w:ascii="Book Antiqua" w:cs="Book Antiqua" w:eastAsia="Book Antiqua" w:hAnsi="Book Antiqua"/>
          <w:color w:val="000000"/>
          <w:sz w:val="24"/>
          <w:szCs w:val="24"/>
          <w:highlight w:val="white"/>
        </w:rPr>
      </w:pPr>
      <w:r w:rsidDel="00000000" w:rsidR="00000000" w:rsidRPr="00000000">
        <w:rPr>
          <w:rtl w:val="0"/>
        </w:rPr>
      </w:r>
    </w:p>
    <w:p w:rsidR="00000000" w:rsidDel="00000000" w:rsidP="00000000" w:rsidRDefault="00000000" w:rsidRPr="00000000" w14:paraId="00000051">
      <w:pPr>
        <w:widowControl w:val="0"/>
        <w:tabs>
          <w:tab w:val="left" w:pos="720"/>
        </w:tabs>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highlight w:val="white"/>
          <w:rtl w:val="0"/>
        </w:rPr>
        <w:t xml:space="preserve">De la misma manera, la Corte IDH sobre la VBG sostiene que:</w:t>
      </w:r>
      <w:r w:rsidDel="00000000" w:rsidR="00000000" w:rsidRPr="00000000">
        <w:rPr>
          <w:rFonts w:ascii="Book Antiqua" w:cs="Book Antiqua" w:eastAsia="Book Antiqua" w:hAnsi="Book Antiqua"/>
          <w:sz w:val="24"/>
          <w:szCs w:val="24"/>
          <w:rtl w:val="0"/>
        </w:rPr>
        <w:t xml:space="preserve"> “(…) el estereotipo de género se refiere a una pre-concepción de atributos o características poseídas o papeles que son o deberían ser ejecutados por hombres y mujeres respectivamente. Teniendo en cuenta las manifestaciones efectuadas por el Estado, es posible asociar la subordinación de la mujer a prácticas basadas en estereotipos de género socialmente dominantes y socialmente persistentes…</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Fonts w:ascii="Book Antiqua" w:cs="Book Antiqua" w:eastAsia="Book Antiqua" w:hAnsi="Book Antiqua"/>
          <w:sz w:val="24"/>
          <w:szCs w:val="24"/>
          <w:rtl w:val="0"/>
        </w:rPr>
        <w:t xml:space="preserve">”. Así, la VBG parte de una serie de patrones impuestos que perpetúan la jerarquía entre géneros y que derivan en conductas dominantes sobre lo no masculino. </w:t>
      </w:r>
    </w:p>
    <w:p w:rsidR="00000000" w:rsidDel="00000000" w:rsidP="00000000" w:rsidRDefault="00000000" w:rsidRPr="00000000" w14:paraId="00000052">
      <w:pPr>
        <w:widowControl w:val="0"/>
        <w:tabs>
          <w:tab w:val="left" w:pos="720"/>
        </w:tabs>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3">
      <w:pPr>
        <w:widowControl w:val="0"/>
        <w:tabs>
          <w:tab w:val="left" w:pos="720"/>
        </w:tabs>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Sobre ello, cabe destacar que la violencia contra la mujer es una violación a los derechos humanos y “(…) una ofensa a la dignidad humana y una manifestación de las relaciones de poder históricamente desiguales entre mujeres y hombres”, que “trasciende todos los sectores de la sociedad independientemente de su clase, raza o grupo étnico, nivel de ingresos, cultura, nivel educacional, edad o religión y afecta negativamente sus propias bases.</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Fonts w:ascii="Book Antiqua" w:cs="Book Antiqua" w:eastAsia="Book Antiqua" w:hAnsi="Book Antiqua"/>
          <w:sz w:val="24"/>
          <w:szCs w:val="24"/>
          <w:rtl w:val="0"/>
        </w:rPr>
        <w:t xml:space="preserve">” En consecuencia, </w:t>
      </w:r>
      <w:r w:rsidDel="00000000" w:rsidR="00000000" w:rsidRPr="00000000">
        <w:rPr>
          <w:rFonts w:ascii="Book Antiqua" w:cs="Book Antiqua" w:eastAsia="Book Antiqua" w:hAnsi="Book Antiqua"/>
          <w:b w:val="1"/>
          <w:sz w:val="24"/>
          <w:szCs w:val="24"/>
          <w:u w:val="single"/>
          <w:rtl w:val="0"/>
        </w:rPr>
        <w:t xml:space="preserve">cualquier forma de VBG constituye </w:t>
      </w:r>
      <w:r w:rsidDel="00000000" w:rsidR="00000000" w:rsidRPr="00000000">
        <w:rPr>
          <w:rFonts w:ascii="Book Antiqua" w:cs="Book Antiqua" w:eastAsia="Book Antiqua" w:hAnsi="Book Antiqua"/>
          <w:b w:val="1"/>
          <w:i w:val="1"/>
          <w:sz w:val="24"/>
          <w:szCs w:val="24"/>
          <w:u w:val="single"/>
          <w:rtl w:val="0"/>
        </w:rPr>
        <w:t xml:space="preserve">per se</w:t>
      </w:r>
      <w:r w:rsidDel="00000000" w:rsidR="00000000" w:rsidRPr="00000000">
        <w:rPr>
          <w:rFonts w:ascii="Book Antiqua" w:cs="Book Antiqua" w:eastAsia="Book Antiqua" w:hAnsi="Book Antiqua"/>
          <w:b w:val="1"/>
          <w:sz w:val="24"/>
          <w:szCs w:val="24"/>
          <w:u w:val="single"/>
          <w:rtl w:val="0"/>
        </w:rPr>
        <w:t xml:space="preserve"> una violación a los derechos humanos y, por tanto, una orden que la contenga se torna automáticamente ilegítima.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otro lado, la Corte igualmente ha manifestado que: “(…) durante los conflictos armados internos e internacionales las partes que se enfrentan utilizan la violencia sexual contra las mujeres como un medio de castigo y represión. La utilización del poder estatal para violar los derechos de las mujeres en un conflicto interno, además de afectarles a ellas de forma directa, puede tener el objetivo de causar un efecto en la sociedad a través de esas violaciones y dar un mensaje o lección.</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rtl w:val="0"/>
        </w:rPr>
        <w:t xml:space="preserve">” Al respecto, si bien no se trata de un contexto de conflicto armado internacional a la luz del DIH –teniendo en cuenta que no existe un grupo armado organizado-, las dinámicas de agresión perpetradas por la Policía Nacional y las FFMM resultan similares. </w:t>
      </w:r>
    </w:p>
    <w:p w:rsidR="00000000" w:rsidDel="00000000" w:rsidP="00000000" w:rsidRDefault="00000000" w:rsidRPr="00000000" w14:paraId="00000056">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sobre la violencia sexual, la Corte IDH ha manifestado que: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la violación sexual no implica necesariamente una relación sexual sin consentimiento, por vía vaginal, como se consideró tradicionalmente. Por violación sexual también debe entenderse actos de penetración vaginales o anales, sin consentimiento de la víctima, mediante la utilización de otras partes del cuerpo del agresor u objetos, así como la penetración bucal mediante el miembro viril.</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58">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9">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esta línea, este mismo Tribunal sostiene que: “(…) la violencia sexual se configura con acciones de naturaleza sexual que se cometen contra una persona sin su consentimiento, que además de comprender la invasión física del cuerpo humano, pueden incluir actos que no involucren penetración o incluso contacto físico alguno.</w:t>
      </w:r>
      <w:r w:rsidDel="00000000" w:rsidR="00000000" w:rsidRPr="00000000">
        <w:rPr>
          <w:rFonts w:ascii="Book Antiqua" w:cs="Book Antiqua" w:eastAsia="Book Antiqua" w:hAnsi="Book Antiqua"/>
          <w:sz w:val="24"/>
          <w:szCs w:val="24"/>
          <w:vertAlign w:val="superscript"/>
        </w:rPr>
        <w:footnoteReference w:customMarkFollows="0" w:id="1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A">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B">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esta manera, la violencia sexual comprende un amplio espectro de agresiones perpetradas sobre la víctima. De modo que, se entiende por violencia sexual cualquier acto que contenga naturaleza sexual sin el consentimiento de la víctima. Ello deriva en una experiencia especialmente traumática que afecta, no sólo a la víctima, sino a su círculo cercano.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Particularmente, en el caso de la violencia sexual ejercida por agentes del Estado, la Corte IDH ha dicho que</w:t>
      </w:r>
      <w:r w:rsidDel="00000000" w:rsidR="00000000" w:rsidRPr="00000000">
        <w:rPr>
          <w:rFonts w:ascii="Cambria" w:cs="Cambria" w:eastAsia="Cambria" w:hAnsi="Cambria"/>
          <w:rtl w:val="0"/>
        </w:rPr>
        <w:t xml:space="preserv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es un acto especialmente grave y reprobable, tomando en cuenta la vulnerabilidad de la víctima y el abuso de poder que despliega el agente.</w:t>
      </w:r>
      <w:r w:rsidDel="00000000" w:rsidR="00000000" w:rsidRPr="00000000">
        <w:rPr>
          <w:rFonts w:ascii="Book Antiqua" w:cs="Book Antiqua" w:eastAsia="Book Antiqua" w:hAnsi="Book Antiqua"/>
          <w:sz w:val="24"/>
          <w:szCs w:val="24"/>
          <w:vertAlign w:val="superscript"/>
        </w:rPr>
        <w:footnoteReference w:customMarkFollows="0" w:id="20"/>
      </w:r>
      <w:r w:rsidDel="00000000" w:rsidR="00000000" w:rsidRPr="00000000">
        <w:rPr>
          <w:rFonts w:ascii="Book Antiqua" w:cs="Book Antiqua" w:eastAsia="Book Antiqua" w:hAnsi="Book Antiqua"/>
          <w:sz w:val="24"/>
          <w:szCs w:val="24"/>
          <w:rtl w:val="0"/>
        </w:rPr>
        <w:t xml:space="preserve">” De esta forma, en el marco de coyunturas: “(l)a agresión sexual a menudo se considera y practica como medio para humillar al adversario” y que “las violaciones sexuales son usadas por ambas partes como un acto simbólico.</w:t>
      </w:r>
      <w:r w:rsidDel="00000000" w:rsidR="00000000" w:rsidRPr="00000000">
        <w:rPr>
          <w:rFonts w:ascii="Book Antiqua" w:cs="Book Antiqua" w:eastAsia="Book Antiqua" w:hAnsi="Book Antiqua"/>
          <w:sz w:val="24"/>
          <w:szCs w:val="24"/>
          <w:vertAlign w:val="superscript"/>
        </w:rPr>
        <w:footnoteReference w:customMarkFollows="0" w:id="21"/>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5E">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el Centro Nacional de Memoria Histórica, sobre las prácticas de violencia sexual en Colombia manifiesta que: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la violencia sexual ha sido usada como una práctica de apropiación de cuerpos y poblaciones, que ha contribuido a reafirmar el dominio violento de los grupos armados que la cometen.</w:t>
      </w:r>
      <w:r w:rsidDel="00000000" w:rsidR="00000000" w:rsidRPr="00000000">
        <w:rPr>
          <w:rFonts w:ascii="Book Antiqua" w:cs="Book Antiqua" w:eastAsia="Book Antiqua" w:hAnsi="Book Antiqua"/>
          <w:sz w:val="24"/>
          <w:szCs w:val="24"/>
          <w:vertAlign w:val="superscript"/>
        </w:rPr>
        <w:footnoteReference w:customMarkFollows="0" w:id="22"/>
      </w:r>
      <w:r w:rsidDel="00000000" w:rsidR="00000000" w:rsidRPr="00000000">
        <w:rPr>
          <w:rFonts w:ascii="Book Antiqua" w:cs="Book Antiqua" w:eastAsia="Book Antiqua" w:hAnsi="Book Antiqua"/>
          <w:sz w:val="24"/>
          <w:szCs w:val="24"/>
          <w:rtl w:val="0"/>
        </w:rPr>
        <w:t xml:space="preserve">” De modo que, esta es una práctica que ha sido utilizada por los cuerpos armados –estatales o no estatales- para ejercer control y dominio sobre las poblaciones y los cuerpos de las mujeres. </w:t>
      </w:r>
    </w:p>
    <w:p w:rsidR="00000000" w:rsidDel="00000000" w:rsidP="00000000" w:rsidRDefault="00000000" w:rsidRPr="00000000" w14:paraId="00000060">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1">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 obstante, cualquier forma de VBG o violencia sexual, como se mencionó anteriormente, es una violación directa a los derechos humanos y la Constitución. Por tanto, no puede revestir un carácter legítimo y ser consideradas órdenes de servicio susceptibles de ejecución.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r w:rsidDel="00000000" w:rsidR="00000000" w:rsidRPr="00000000">
        <w:rPr>
          <w:rtl w:val="0"/>
        </w:rPr>
      </w:r>
    </w:p>
    <w:p w:rsidR="00000000" w:rsidDel="00000000" w:rsidP="00000000" w:rsidRDefault="00000000" w:rsidRPr="00000000" w14:paraId="00000064">
      <w:pPr>
        <w:spacing w:after="160" w:line="259" w:lineRule="auto"/>
        <w:jc w:val="both"/>
        <w:rPr>
          <w:rFonts w:ascii="Book Antiqua" w:cs="Book Antiqua" w:eastAsia="Book Antiqua" w:hAnsi="Book Antiqua"/>
          <w:color w:val="202124"/>
          <w:sz w:val="24"/>
          <w:szCs w:val="24"/>
          <w:highlight w:val="white"/>
        </w:rPr>
      </w:pPr>
      <w:r w:rsidDel="00000000" w:rsidR="00000000" w:rsidRPr="00000000">
        <w:rPr>
          <w:rFonts w:ascii="Book Antiqua" w:cs="Book Antiqua" w:eastAsia="Book Antiqua" w:hAnsi="Book Antiqua"/>
          <w:sz w:val="24"/>
          <w:szCs w:val="24"/>
          <w:rtl w:val="0"/>
        </w:rPr>
        <w:t xml:space="preserve">Dentro del ordenamiento jurídico colombiano, la orden militar es “...l</w:t>
      </w:r>
      <w:r w:rsidDel="00000000" w:rsidR="00000000" w:rsidRPr="00000000">
        <w:rPr>
          <w:rFonts w:ascii="Book Antiqua" w:cs="Book Antiqua" w:eastAsia="Book Antiqua" w:hAnsi="Book Antiqua"/>
          <w:color w:val="202124"/>
          <w:sz w:val="24"/>
          <w:szCs w:val="24"/>
          <w:highlight w:val="white"/>
          <w:rtl w:val="0"/>
        </w:rPr>
        <w:t xml:space="preserve">a manifestación externa del superior con autoridad que se debe obedecer, observar y ejecutar. La orden debe ser legítima, lógica, oportuna, clara, precisa, concisa y relacionada con el servicio o función.</w:t>
      </w:r>
      <w:r w:rsidDel="00000000" w:rsidR="00000000" w:rsidRPr="00000000">
        <w:rPr>
          <w:rFonts w:ascii="Book Antiqua" w:cs="Book Antiqua" w:eastAsia="Book Antiqua" w:hAnsi="Book Antiqua"/>
          <w:color w:val="202124"/>
          <w:sz w:val="24"/>
          <w:szCs w:val="24"/>
          <w:highlight w:val="white"/>
          <w:vertAlign w:val="superscript"/>
        </w:rPr>
        <w:footnoteReference w:customMarkFollows="0" w:id="23"/>
      </w:r>
      <w:r w:rsidDel="00000000" w:rsidR="00000000" w:rsidRPr="00000000">
        <w:rPr>
          <w:rFonts w:ascii="Book Antiqua" w:cs="Book Antiqua" w:eastAsia="Book Antiqua" w:hAnsi="Book Antiqua"/>
          <w:color w:val="202124"/>
          <w:sz w:val="24"/>
          <w:szCs w:val="24"/>
          <w:highlight w:val="white"/>
          <w:rtl w:val="0"/>
        </w:rPr>
        <w:t xml:space="preserve">” Esto implica que no toda orden es legítima y, en consecuencia, no toda orden se torna obligatoria para quien la recibe. </w:t>
      </w:r>
    </w:p>
    <w:p w:rsidR="00000000" w:rsidDel="00000000" w:rsidP="00000000" w:rsidRDefault="00000000" w:rsidRPr="00000000" w14:paraId="00000065">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02124"/>
          <w:sz w:val="24"/>
          <w:szCs w:val="24"/>
          <w:highlight w:val="white"/>
          <w:rtl w:val="0"/>
        </w:rPr>
        <w:t xml:space="preserve">Así, se ha dicho que una orden ilegítima es aquella que: “...</w:t>
      </w:r>
      <w:r w:rsidDel="00000000" w:rsidR="00000000" w:rsidRPr="00000000">
        <w:rPr>
          <w:rFonts w:ascii="Book Antiqua" w:cs="Book Antiqua" w:eastAsia="Book Antiqua" w:hAnsi="Book Antiqua"/>
          <w:sz w:val="24"/>
          <w:szCs w:val="24"/>
          <w:highlight w:val="white"/>
          <w:rtl w:val="0"/>
        </w:rPr>
        <w:t xml:space="preserve">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highlight w:val="white"/>
          <w:vertAlign w:val="superscript"/>
        </w:rPr>
        <w:footnoteReference w:customMarkFollows="0" w:id="24"/>
      </w:r>
      <w:r w:rsidDel="00000000" w:rsidR="00000000" w:rsidRPr="00000000">
        <w:rPr>
          <w:rFonts w:ascii="Book Antiqua" w:cs="Book Antiqua" w:eastAsia="Book Antiqua" w:hAnsi="Book Antiqua"/>
          <w:sz w:val="24"/>
          <w:szCs w:val="24"/>
          <w:highlight w:val="white"/>
          <w:rtl w:val="0"/>
        </w:rPr>
        <w:t xml:space="preserve">” De modo que, no existe la obligación de acatar dichas órdenes y, en consecuencia, se exime de responsabilidad por desobedecerlas. Incluso, debe resaltarse que, cuando una orden ilegítima es llevada a cabo la responsabilidad que se derive de su realización recae tanto en el superior que la dictó como en el subalterno que la acató</w:t>
      </w:r>
      <w:r w:rsidDel="00000000" w:rsidR="00000000" w:rsidRPr="00000000">
        <w:rPr>
          <w:rFonts w:ascii="Book Antiqua" w:cs="Book Antiqua" w:eastAsia="Book Antiqua" w:hAnsi="Book Antiqua"/>
          <w:sz w:val="24"/>
          <w:szCs w:val="24"/>
          <w:highlight w:val="white"/>
          <w:vertAlign w:val="superscript"/>
        </w:rPr>
        <w:footnoteReference w:customMarkFollows="0" w:id="25"/>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66">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Esto ha sido denominado la relativización de la obediencia debida. Así, si bien la obediencia es un pilar fundamental del funcionamiento de las FFMM y la Policía Nacional, ello no significa que sea absoluta y carente de reflexión. En este sentido, la Corte Constitucional ha manifestado lo siguiente: </w:t>
      </w:r>
    </w:p>
    <w:p w:rsidR="00000000" w:rsidDel="00000000" w:rsidP="00000000" w:rsidRDefault="00000000" w:rsidRPr="00000000" w14:paraId="00000067">
      <w:pPr>
        <w:spacing w:after="240" w:before="240" w:line="259"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la Corte reiteradamente ha sostenido que es indispensable que dentro de las Fuerzas Militares sea observada una disciplina estricta y se respete el orden jerárquico, por lo cual en principio deben acatarse todas las órdenes impartidas por los superiores, quienes asumirán la responsabilidad correspondiente; empero, este principio de observancia irrestricta de los mandatos no equivale a obediencia ciega o irracional. Es decir, la jurisprudencia ha rechazado como inconstitucional la obediencia absolutamente irreflexiva.</w:t>
      </w:r>
      <w:r w:rsidDel="00000000" w:rsidR="00000000" w:rsidRPr="00000000">
        <w:rPr>
          <w:rFonts w:ascii="Book Antiqua" w:cs="Book Antiqua" w:eastAsia="Book Antiqua" w:hAnsi="Book Antiqua"/>
          <w:sz w:val="24"/>
          <w:szCs w:val="24"/>
          <w:vertAlign w:val="superscript"/>
        </w:rPr>
        <w:footnoteReference w:customMarkFollows="0" w:id="26"/>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8">
      <w:pPr>
        <w:spacing w:after="240" w:before="24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tanto, la obediencia inmersa en las FFMM y la Policía Nacional no implica la observancia absoluta e irracional de las órdenes impartidas. Los subalternos tienen el deber y el derecho de hacer un ejercicio reflexivo sobre las órdenes que reciben y, si es el caso, desconocer aquellas ilegítimas. De tal modo, el Alto Tribunal ha mencionado que:</w:t>
      </w:r>
    </w:p>
    <w:p w:rsidR="00000000" w:rsidDel="00000000" w:rsidP="00000000" w:rsidRDefault="00000000" w:rsidRPr="00000000" w14:paraId="00000069">
      <w:pPr>
        <w:spacing w:after="240" w:before="240" w:line="259" w:lineRule="auto"/>
        <w:ind w:left="78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el principio constitucional de obediencia debida (Art. 91, CP) no implica un principio de obediencia ciega. Las personas que hacen parte de las Fuerzas Militares </w:t>
      </w:r>
      <w:r w:rsidDel="00000000" w:rsidR="00000000" w:rsidRPr="00000000">
        <w:rPr>
          <w:rFonts w:ascii="Book Antiqua" w:cs="Book Antiqua" w:eastAsia="Book Antiqua" w:hAnsi="Book Antiqua"/>
          <w:b w:val="1"/>
          <w:sz w:val="24"/>
          <w:szCs w:val="24"/>
          <w:highlight w:val="white"/>
          <w:rtl w:val="0"/>
        </w:rPr>
        <w:t xml:space="preserve">no están obligadas a obedecer una orden que implique una violación a los derechos humanos, una infracción al derecho internacional humanitario -DIH-, o al derecho internacional de los derechos humanos,</w:t>
      </w:r>
      <w:r w:rsidDel="00000000" w:rsidR="00000000" w:rsidRPr="00000000">
        <w:rPr>
          <w:rFonts w:ascii="Book Antiqua" w:cs="Book Antiqua" w:eastAsia="Book Antiqua" w:hAnsi="Book Antiqua"/>
          <w:sz w:val="24"/>
          <w:szCs w:val="24"/>
          <w:highlight w:val="white"/>
          <w:rtl w:val="0"/>
        </w:rPr>
        <w:t xml:space="preserve"> pues, en estricto sentido, bajo el orden constitucional vigente esa no puede ser una orden militar legítima</w:t>
      </w:r>
      <w:r w:rsidDel="00000000" w:rsidR="00000000" w:rsidRPr="00000000">
        <w:rPr>
          <w:rFonts w:ascii="Book Antiqua" w:cs="Book Antiqua" w:eastAsia="Book Antiqua" w:hAnsi="Book Antiqua"/>
          <w:sz w:val="24"/>
          <w:szCs w:val="24"/>
          <w:highlight w:val="white"/>
          <w:vertAlign w:val="superscript"/>
        </w:rPr>
        <w:footnoteReference w:customMarkFollows="0" w:id="27"/>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6A">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highlight w:val="white"/>
          <w:rtl w:val="0"/>
        </w:rPr>
        <w:t xml:space="preserve">En el caso particular, la orden dirigida a cometer actos constitutivos de VBG y violencia sexual, resulta en la violación de los tratados internacionales ratificados por Colombia, el derecho internacional de los derechos humanos, el corpus iuris internacionales sobre protección de los derechos de la mujer, la Constitución y la ley según lo expuesto en el acápite respectivo. Así, se torna en inconstitucional e inconvencional. Por lo tanto, se trata de una orden ilegítima que no debe ser acatada por la persona que la recibe.</w:t>
      </w:r>
      <w:r w:rsidDel="00000000" w:rsidR="00000000" w:rsidRPr="00000000">
        <w:rPr>
          <w:rtl w:val="0"/>
        </w:rPr>
      </w:r>
    </w:p>
    <w:p w:rsidR="00000000" w:rsidDel="00000000" w:rsidP="00000000" w:rsidRDefault="00000000" w:rsidRPr="00000000" w14:paraId="0000006B">
      <w:pPr>
        <w:numPr>
          <w:ilvl w:val="0"/>
          <w:numId w:val="2"/>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no se está incurriendo en faltas disciplinarias o en delitos?</w:t>
      </w:r>
    </w:p>
    <w:p w:rsidR="00000000" w:rsidDel="00000000" w:rsidP="00000000" w:rsidRDefault="00000000" w:rsidRPr="00000000" w14:paraId="0000006C">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es posible que a raíz de la negativa a acatar la orden dirigida a perpetrar </w:t>
      </w:r>
      <w:r w:rsidDel="00000000" w:rsidR="00000000" w:rsidRPr="00000000">
        <w:rPr>
          <w:rFonts w:ascii="Book Antiqua" w:cs="Book Antiqua" w:eastAsia="Book Antiqua" w:hAnsi="Book Antiqua"/>
          <w:sz w:val="24"/>
          <w:szCs w:val="24"/>
          <w:highlight w:val="white"/>
          <w:rtl w:val="0"/>
        </w:rPr>
        <w:t xml:space="preserve">actos constitutivos de VBG y violencia sexual</w:t>
      </w:r>
      <w:r w:rsidDel="00000000" w:rsidR="00000000" w:rsidRPr="00000000">
        <w:rPr>
          <w:rFonts w:ascii="Book Antiqua" w:cs="Book Antiqua" w:eastAsia="Book Antiqua" w:hAnsi="Book Antiqua"/>
          <w:sz w:val="24"/>
          <w:szCs w:val="24"/>
          <w:rtl w:val="0"/>
        </w:rPr>
        <w:t xml:space="preserve">,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6D">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5.1. Delitos contemplados en la jurisdicción penal militar.</w:t>
      </w:r>
    </w:p>
    <w:p w:rsidR="00000000" w:rsidDel="00000000" w:rsidP="00000000" w:rsidRDefault="00000000" w:rsidRPr="00000000" w14:paraId="0000006E">
      <w:pPr>
        <w:numPr>
          <w:ilvl w:val="0"/>
          <w:numId w:val="4"/>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6F">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70">
      <w:pPr>
        <w:spacing w:after="280" w:before="280" w:line="259"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la rechace, impida que otro la cumpla, o que el superior la imparta,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28"/>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71">
      <w:pPr>
        <w:numPr>
          <w:ilvl w:val="0"/>
          <w:numId w:val="4"/>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72">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73">
      <w:pPr>
        <w:spacing w:after="160" w:line="259"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29"/>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74">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ilegítima. Así,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3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75">
      <w:pPr>
        <w:spacing w:after="160" w:line="259" w:lineRule="auto"/>
        <w:jc w:val="both"/>
        <w:rPr>
          <w:rFonts w:ascii="Book Antiqua" w:cs="Book Antiqua" w:eastAsia="Book Antiqua" w:hAnsi="Book Antiqua"/>
          <w:sz w:val="24"/>
          <w:szCs w:val="24"/>
        </w:rPr>
      </w:pPr>
      <w:bookmarkStart w:colFirst="0" w:colLast="0" w:name="_heading=h.gjdgxs" w:id="0"/>
      <w:bookmarkEnd w:id="0"/>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como se mencionó, la orden que conlleva la comisión de </w:t>
      </w:r>
      <w:r w:rsidDel="00000000" w:rsidR="00000000" w:rsidRPr="00000000">
        <w:rPr>
          <w:rFonts w:ascii="Book Antiqua" w:cs="Book Antiqua" w:eastAsia="Book Antiqua" w:hAnsi="Book Antiqua"/>
          <w:sz w:val="24"/>
          <w:szCs w:val="24"/>
          <w:highlight w:val="white"/>
          <w:rtl w:val="0"/>
        </w:rPr>
        <w:t xml:space="preserve">actos constitutivos de VBG  y violencia sexual</w:t>
      </w:r>
      <w:r w:rsidDel="00000000" w:rsidR="00000000" w:rsidRPr="00000000">
        <w:rPr>
          <w:rFonts w:ascii="Book Antiqua" w:cs="Book Antiqua" w:eastAsia="Book Antiqua" w:hAnsi="Book Antiqua"/>
          <w:sz w:val="24"/>
          <w:szCs w:val="24"/>
          <w:rtl w:val="0"/>
        </w:rPr>
        <w:t xml:space="preserve"> viola la Ley, la Constitución y los tratados internacionales contenidos en el bloque, es una orden ilegítima. Por tanto, no es posible imputar los delitos de insubordinación o desobediencia respectivamente. </w:t>
      </w:r>
    </w:p>
    <w:p w:rsidR="00000000" w:rsidDel="00000000" w:rsidP="00000000" w:rsidRDefault="00000000" w:rsidRPr="00000000" w14:paraId="00000076">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77">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5.2. Faltas disciplinarias.</w:t>
      </w:r>
    </w:p>
    <w:p w:rsidR="00000000" w:rsidDel="00000000" w:rsidP="00000000" w:rsidRDefault="00000000" w:rsidRPr="00000000" w14:paraId="00000078">
      <w:pPr>
        <w:numPr>
          <w:ilvl w:val="0"/>
          <w:numId w:val="5"/>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79">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Dentro de las faltas gravísimas, consagradas en su artículo 29,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r w:rsidDel="00000000" w:rsidR="00000000" w:rsidRPr="00000000">
        <w:rPr>
          <w:rtl w:val="0"/>
        </w:rPr>
      </w:r>
    </w:p>
    <w:p w:rsidR="00000000" w:rsidDel="00000000" w:rsidP="00000000" w:rsidRDefault="00000000" w:rsidRPr="00000000" w14:paraId="0000007A">
      <w:pPr>
        <w:pageBreakBefore w:val="0"/>
        <w:numPr>
          <w:ilvl w:val="0"/>
          <w:numId w:val="5"/>
        </w:numPr>
        <w:spacing w:after="160" w:line="259" w:lineRule="auto"/>
        <w:ind w:left="720" w:hanging="360"/>
        <w:jc w:val="both"/>
        <w:rPr>
          <w:rFonts w:ascii="Book Antiqua" w:cs="Book Antiqua" w:eastAsia="Book Antiqua" w:hAnsi="Book Antiqua"/>
          <w:b w:val="1"/>
          <w:sz w:val="24"/>
          <w:szCs w:val="24"/>
          <w:u w:val="none"/>
        </w:rPr>
      </w:pPr>
      <w:r w:rsidDel="00000000" w:rsidR="00000000" w:rsidRPr="00000000">
        <w:rPr>
          <w:rFonts w:ascii="Book Antiqua" w:cs="Book Antiqua" w:eastAsia="Book Antiqua" w:hAnsi="Book Antiqua"/>
          <w:b w:val="1"/>
          <w:sz w:val="24"/>
          <w:szCs w:val="24"/>
          <w:rtl w:val="0"/>
        </w:rPr>
        <w:t xml:space="preserve">Faltas contempladas en el Régimen Disciplinario de la Policía Nacional. </w:t>
      </w:r>
    </w:p>
    <w:p w:rsidR="00000000" w:rsidDel="00000000" w:rsidP="00000000" w:rsidRDefault="00000000" w:rsidRPr="00000000" w14:paraId="0000007B">
      <w:pPr>
        <w:pageBreakBefore w:val="0"/>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Ley 1015 de 2016 que contempla el Régimen Disciplinario de la Policía Nacional, a su vez consagra el sistema de faltas leves, graves y gravísimas específicas para los miembros de la Policía. Entre las faltas graves consagradas en el artículo 35 se encuentran las siguientes: </w:t>
      </w:r>
    </w:p>
    <w:p w:rsidR="00000000" w:rsidDel="00000000" w:rsidP="00000000" w:rsidRDefault="00000000" w:rsidRPr="00000000" w14:paraId="0000007C">
      <w:pPr>
        <w:pageBreakBefore w:val="0"/>
        <w:spacing w:after="240" w:before="240" w:line="276"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“10. Incumplir, modificar, desautorizar, eludir, ejecutar con negligencia o tardanza, o introducir cambios, sin causa justificada, </w:t>
      </w:r>
      <w:r w:rsidDel="00000000" w:rsidR="00000000" w:rsidRPr="00000000">
        <w:rPr>
          <w:rFonts w:ascii="Book Antiqua" w:cs="Book Antiqua" w:eastAsia="Book Antiqua" w:hAnsi="Book Antiqua"/>
          <w:b w:val="1"/>
          <w:sz w:val="24"/>
          <w:szCs w:val="24"/>
          <w:highlight w:val="white"/>
          <w:u w:val="single"/>
          <w:rtl w:val="0"/>
        </w:rPr>
        <w:t xml:space="preserve">a las órdenes o instrucciones relativas al servicio</w:t>
      </w:r>
      <w:r w:rsidDel="00000000" w:rsidR="00000000" w:rsidRPr="00000000">
        <w:rPr>
          <w:rFonts w:ascii="Book Antiqua" w:cs="Book Antiqua" w:eastAsia="Book Antiqua" w:hAnsi="Book Antiqua"/>
          <w:sz w:val="24"/>
          <w:szCs w:val="24"/>
          <w:highlight w:val="white"/>
          <w:rtl w:val="0"/>
        </w:rPr>
        <w:t xml:space="preserve"> (Negrilla fuera de original).</w:t>
      </w:r>
      <w:r w:rsidDel="00000000" w:rsidR="00000000" w:rsidRPr="00000000">
        <w:rPr>
          <w:rFonts w:ascii="Book Antiqua" w:cs="Book Antiqua" w:eastAsia="Book Antiqua" w:hAnsi="Book Antiqua"/>
          <w:sz w:val="24"/>
          <w:szCs w:val="24"/>
          <w:highlight w:val="white"/>
          <w:vertAlign w:val="superscript"/>
        </w:rPr>
        <w:footnoteReference w:customMarkFollows="0" w:id="3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7D">
      <w:pPr>
        <w:pageBreakBefore w:val="0"/>
        <w:spacing w:after="240" w:before="240" w:line="276"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Sumado a esto, el artículo 36 consagra las faltas leves en las que puede incurrir una persona perteneciente a la Policía. Entre ellas se encuentra:</w:t>
      </w:r>
    </w:p>
    <w:p w:rsidR="00000000" w:rsidDel="00000000" w:rsidP="00000000" w:rsidRDefault="00000000" w:rsidRPr="00000000" w14:paraId="0000007E">
      <w:pPr>
        <w:pageBreakBefore w:val="0"/>
        <w:spacing w:after="240" w:before="240" w:line="276"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“3. Asumir actitudes displicentes ante </w:t>
      </w:r>
      <w:r w:rsidDel="00000000" w:rsidR="00000000" w:rsidRPr="00000000">
        <w:rPr>
          <w:rFonts w:ascii="Book Antiqua" w:cs="Book Antiqua" w:eastAsia="Book Antiqua" w:hAnsi="Book Antiqua"/>
          <w:b w:val="1"/>
          <w:sz w:val="24"/>
          <w:szCs w:val="24"/>
          <w:highlight w:val="white"/>
          <w:u w:val="single"/>
          <w:rtl w:val="0"/>
        </w:rPr>
        <w:t xml:space="preserve">una orden, una instrucción,</w:t>
      </w:r>
      <w:r w:rsidDel="00000000" w:rsidR="00000000" w:rsidRPr="00000000">
        <w:rPr>
          <w:rFonts w:ascii="Book Antiqua" w:cs="Book Antiqua" w:eastAsia="Book Antiqua" w:hAnsi="Book Antiqua"/>
          <w:sz w:val="24"/>
          <w:szCs w:val="24"/>
          <w:highlight w:val="white"/>
          <w:rtl w:val="0"/>
        </w:rPr>
        <w:t xml:space="preserve"> un llamado de atención o una sanción</w:t>
      </w:r>
      <w:r w:rsidDel="00000000" w:rsidR="00000000" w:rsidRPr="00000000">
        <w:rPr>
          <w:rFonts w:ascii="Book Antiqua" w:cs="Book Antiqua" w:eastAsia="Book Antiqua" w:hAnsi="Book Antiqua"/>
          <w:sz w:val="24"/>
          <w:szCs w:val="24"/>
          <w:highlight w:val="white"/>
          <w:vertAlign w:val="superscript"/>
        </w:rPr>
        <w:footnoteReference w:customMarkFollows="0" w:id="32"/>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7F">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80">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y que, por tanto, no obliga a la persona a quien le es impartida a cumplirla. </w:t>
      </w:r>
    </w:p>
    <w:p w:rsidR="00000000" w:rsidDel="00000000" w:rsidP="00000000" w:rsidRDefault="00000000" w:rsidRPr="00000000" w14:paraId="00000081">
      <w:pPr>
        <w:spacing w:after="240" w:befor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todo caso, no debe perderse de vista que una de las causales de exclusión de responsabilidad consagradas en el artículo 41 del mismo cuerpo normativo y el artículo 33 del Código Penal Militar se refieren a la ausencia de responsabilidad cuando el funcionario actúa “</w:t>
      </w:r>
      <w:r w:rsidDel="00000000" w:rsidR="00000000" w:rsidRPr="00000000">
        <w:rPr>
          <w:rFonts w:ascii="Book Antiqua" w:cs="Book Antiqua" w:eastAsia="Book Antiqua" w:hAnsi="Book Antiqua"/>
          <w:sz w:val="24"/>
          <w:szCs w:val="24"/>
          <w:rtl w:val="0"/>
        </w:rPr>
        <w:t xml:space="preserve">(e)n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3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82">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es posible afirmar que la negativa o renuencia a cumplir una orden que afecta derechos humanos o derechos constitucionales, es una circunstancia de exclusión de la responsabilidad penal y disciplinaria  y/o un argumento para objetar conciencia y rehusarse a realizarla. 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83">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se niegue o rehuse a acatar dicha orden. </w:t>
      </w:r>
    </w:p>
    <w:p w:rsidR="00000000" w:rsidDel="00000000" w:rsidP="00000000" w:rsidRDefault="00000000" w:rsidRPr="00000000" w14:paraId="00000084">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85">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6">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 me respete mi derecho a la objeción de conciencia puesto que la mencionada orden es ilegítima y contraria a las normas mencionadas </w:t>
      </w:r>
      <w:r w:rsidDel="00000000" w:rsidR="00000000" w:rsidRPr="00000000">
        <w:rPr>
          <w:rFonts w:ascii="Book Antiqua" w:cs="Book Antiqua" w:eastAsia="Book Antiqua" w:hAnsi="Book Antiqua"/>
          <w:sz w:val="24"/>
          <w:szCs w:val="24"/>
          <w:rtl w:val="0"/>
        </w:rPr>
        <w:t xml:space="preserve">y por tanto no debía llevarla a efecto y en razón a esto no se inicie ningún proceso en mi contra por la no ejecución de la misma. </w:t>
      </w:r>
    </w:p>
    <w:p w:rsidR="00000000" w:rsidDel="00000000" w:rsidP="00000000" w:rsidRDefault="00000000" w:rsidRPr="00000000" w14:paraId="0000008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8">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89">
      <w:pPr>
        <w:numPr>
          <w:ilvl w:val="0"/>
          <w:numId w:val="3"/>
        </w:numPr>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8A">
      <w:pPr>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8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C">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1">
    <w:p w:rsidR="00000000" w:rsidDel="00000000" w:rsidP="00000000" w:rsidRDefault="00000000" w:rsidRPr="00000000" w14:paraId="0000008D">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2">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3">
    <w:p w:rsidR="00000000" w:rsidDel="00000000" w:rsidP="00000000" w:rsidRDefault="00000000" w:rsidRPr="00000000" w14:paraId="0000008F">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4">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5">
    <w:p w:rsidR="00000000" w:rsidDel="00000000" w:rsidP="00000000" w:rsidRDefault="00000000" w:rsidRPr="00000000" w14:paraId="00000091">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6">
    <w:p w:rsidR="00000000" w:rsidDel="00000000" w:rsidP="00000000" w:rsidRDefault="00000000" w:rsidRPr="00000000" w14:paraId="00000092">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7">
    <w:p w:rsidR="00000000" w:rsidDel="00000000" w:rsidP="00000000" w:rsidRDefault="00000000" w:rsidRPr="00000000" w14:paraId="0000009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8">
    <w:p w:rsidR="00000000" w:rsidDel="00000000" w:rsidP="00000000" w:rsidRDefault="00000000" w:rsidRPr="00000000" w14:paraId="00000094">
      <w:pPr>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9">
    <w:p w:rsidR="00000000" w:rsidDel="00000000" w:rsidP="00000000" w:rsidRDefault="00000000" w:rsidRPr="00000000" w14:paraId="00000095">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Pacheco León y otros Vs. Honduras. Fondo, Reparaciones y Costas. Sentencia de 15 de noviembre 2017. Serie C No. 342.</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Corte Interamericana de Derechos Humanos.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Caso Zambrano Vélez y otros Vs. Ecuador. Fondo, Reparaciones y Costas. Sentencia de 4 de julio de 2007. Serie C No. 166.</w:t>
      </w:r>
    </w:p>
  </w:footnote>
  <w:footnote w:id="11">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Corte Interamericana de Derechos Humanos. Caso Masacre de Santo Domingo Vs. Colombia. Excepciones Preliminares, Fondo y Reparaciones.</w:t>
      </w:r>
    </w:p>
  </w:footnote>
  <w:footnote w:id="12">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Corte Constitucional. Sala Plena. Sentencia C-578 del 4 de diciembre de 1995. M.P. Eduardo Cifuentes Muñoz.</w:t>
      </w:r>
    </w:p>
  </w:footnote>
  <w:footnote w:id="13">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Asamblea General de las Naciones Unidas. Convención sobre la Eliminación de Todas las Formas de Discriminación Contra la Mujer. Artículo 2. Literal C.</w:t>
      </w:r>
    </w:p>
  </w:footnote>
  <w:footnote w:id="14">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Asamblea General de las Naciones Unidas. </w:t>
      </w:r>
      <w:r w:rsidDel="00000000" w:rsidR="00000000" w:rsidRPr="00000000">
        <w:rPr>
          <w:rFonts w:ascii="Book Antiqua" w:cs="Book Antiqua" w:eastAsia="Book Antiqua" w:hAnsi="Book Antiqua"/>
          <w:b w:val="0"/>
          <w:i w:val="0"/>
          <w:smallCaps w:val="0"/>
          <w:strike w:val="0"/>
          <w:color w:val="000000"/>
          <w:sz w:val="20"/>
          <w:szCs w:val="20"/>
          <w:highlight w:val="white"/>
          <w:u w:val="none"/>
          <w:vertAlign w:val="baseline"/>
          <w:rtl w:val="0"/>
        </w:rPr>
        <w:t xml:space="preserve">Declaración sobre la Eliminación de la Violencia.</w:t>
      </w:r>
      <w:r w:rsidDel="00000000" w:rsidR="00000000" w:rsidRPr="00000000">
        <w:rPr>
          <w:rtl w:val="0"/>
        </w:rPr>
      </w:r>
    </w:p>
  </w:footnote>
  <w:footnote w:id="15">
    <w:p w:rsidR="00000000" w:rsidDel="00000000" w:rsidP="00000000" w:rsidRDefault="00000000" w:rsidRPr="00000000" w14:paraId="0000009C">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González y otras (“Campo Algodonero”) Vs. México. Excepción Preliminar, Fondo, Reparaciones y Costas. Sentencia de 16 de noviembre de 2009.</w:t>
      </w:r>
    </w:p>
  </w:footnote>
  <w:footnote w:id="16">
    <w:p w:rsidR="00000000" w:rsidDel="00000000" w:rsidP="00000000" w:rsidRDefault="00000000" w:rsidRPr="00000000" w14:paraId="0000009D">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Fernández Ortega y otros Vs. México. Excepción Preliminar, Fondo, Reparaciones y Costas.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17">
    <w:p w:rsidR="00000000" w:rsidDel="00000000" w:rsidP="00000000" w:rsidRDefault="00000000" w:rsidRPr="00000000" w14:paraId="0000009F">
      <w:pPr>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del Penal Miguel Castro Castro Vs. Perú. Fondo, Reparaciones y Costas. </w:t>
      </w:r>
    </w:p>
  </w:footnote>
  <w:footnote w:id="18">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Ibidem.</w:t>
      </w:r>
    </w:p>
  </w:footnote>
  <w:footnote w:id="19">
    <w:p w:rsidR="00000000" w:rsidDel="00000000" w:rsidP="00000000" w:rsidRDefault="00000000" w:rsidRPr="00000000" w14:paraId="000000A1">
      <w:pPr>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Fernández Ortega y otros Vs. México. Excepción Preliminar, Fondo, Reparaciones y Costas.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20">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Ibidem.</w:t>
      </w:r>
    </w:p>
  </w:footnote>
  <w:footnote w:id="21">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Relatora Especial de la ONU para la Violencia contra las Mujeres.</w:t>
      </w:r>
    </w:p>
  </w:footnote>
  <w:footnote w:id="22">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Centro Nacional de Memoria Histórica. La guerra inscrita en el cuerpo. Informe Nacional de Violencia Sexual, Bogotá, 2017</w:t>
      </w:r>
    </w:p>
  </w:footnote>
  <w:footnote w:id="23">
    <w:p w:rsidR="00000000" w:rsidDel="00000000" w:rsidP="00000000" w:rsidRDefault="00000000" w:rsidRPr="00000000" w14:paraId="000000A6">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Congreso de la República. Ley 1862 de 2017: Por la cual se establecen las normas de conducta del Militar Colombiano y se expide el Código Disciplinario Militar. Artículo 9.</w:t>
      </w:r>
    </w:p>
  </w:footnote>
  <w:footnote w:id="24">
    <w:p w:rsidR="00000000" w:rsidDel="00000000" w:rsidP="00000000" w:rsidRDefault="00000000" w:rsidRPr="00000000" w14:paraId="000000A7">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10.</w:t>
      </w:r>
    </w:p>
  </w:footnote>
  <w:footnote w:id="25">
    <w:p w:rsidR="00000000" w:rsidDel="00000000" w:rsidP="00000000" w:rsidRDefault="00000000" w:rsidRPr="00000000" w14:paraId="000000A8">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26">
    <w:p w:rsidR="00000000" w:rsidDel="00000000" w:rsidP="00000000" w:rsidRDefault="00000000" w:rsidRPr="00000000" w14:paraId="000000A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C-431 del 6 de mayo de 2004. M.P. Marco Gerardo Monroy Cabra.</w:t>
      </w:r>
      <w:r w:rsidDel="00000000" w:rsidR="00000000" w:rsidRPr="00000000">
        <w:rPr>
          <w:rtl w:val="0"/>
        </w:rPr>
      </w:r>
    </w:p>
  </w:footnote>
  <w:footnote w:id="27">
    <w:p w:rsidR="00000000" w:rsidDel="00000000" w:rsidP="00000000" w:rsidRDefault="00000000" w:rsidRPr="00000000" w14:paraId="000000AA">
      <w:pPr>
        <w:spacing w:line="240" w:lineRule="auto"/>
        <w:jc w:val="both"/>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Corte Constitucional. Sala Plena. Sentencia C-570 del 27 de noviembre de 2019. M.P. Diana Fajardo. </w:t>
      </w:r>
      <w:r w:rsidDel="00000000" w:rsidR="00000000" w:rsidRPr="00000000">
        <w:rPr>
          <w:rtl w:val="0"/>
        </w:rPr>
      </w:r>
    </w:p>
  </w:footnote>
  <w:footnote w:id="28">
    <w:p w:rsidR="00000000" w:rsidDel="00000000" w:rsidP="00000000" w:rsidRDefault="00000000" w:rsidRPr="00000000" w14:paraId="000000AB">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29">
    <w:p w:rsidR="00000000" w:rsidDel="00000000" w:rsidP="00000000" w:rsidRDefault="00000000" w:rsidRPr="00000000" w14:paraId="000000A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30">
    <w:p w:rsidR="00000000" w:rsidDel="00000000" w:rsidP="00000000" w:rsidRDefault="00000000" w:rsidRPr="00000000" w14:paraId="000000AD">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33">
    <w:p w:rsidR="00000000" w:rsidDel="00000000" w:rsidP="00000000" w:rsidRDefault="00000000" w:rsidRPr="00000000" w14:paraId="000000AE">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Artículo 41.</w:t>
      </w:r>
    </w:p>
  </w:footnote>
  <w:footnote w:id="31">
    <w:p w:rsidR="00000000" w:rsidDel="00000000" w:rsidP="00000000" w:rsidRDefault="00000000" w:rsidRPr="00000000" w14:paraId="000000A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35.</w:t>
      </w:r>
    </w:p>
  </w:footnote>
  <w:footnote w:id="32">
    <w:p w:rsidR="00000000" w:rsidDel="00000000" w:rsidP="00000000" w:rsidRDefault="00000000" w:rsidRPr="00000000" w14:paraId="000000B0">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36.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Prrafodelista">
    <w:name w:val="List Paragraph"/>
    <w:basedOn w:val="Normal"/>
    <w:uiPriority w:val="34"/>
    <w:qFormat w:val="1"/>
    <w:rsid w:val="001438F1"/>
    <w:pPr>
      <w:spacing w:after="160" w:line="259" w:lineRule="auto"/>
      <w:ind w:left="720"/>
      <w:contextualSpacing w:val="1"/>
    </w:pPr>
    <w:rPr>
      <w:rFonts w:asciiTheme="minorHAnsi" w:cstheme="minorBidi" w:eastAsiaTheme="minorHAnsi" w:hAnsiTheme="minorHAnsi"/>
      <w:lang w:val="en-US"/>
    </w:rPr>
  </w:style>
  <w:style w:type="character" w:styleId="Refdenotaalpie">
    <w:name w:val="footnote reference"/>
    <w:basedOn w:val="Fuentedeprrafopredeter"/>
    <w:uiPriority w:val="99"/>
    <w:semiHidden w:val="1"/>
    <w:unhideWhenUsed w:val="1"/>
    <w:rsid w:val="001438F1"/>
  </w:style>
  <w:style w:type="paragraph" w:styleId="Textonotapie">
    <w:name w:val="footnote text"/>
    <w:basedOn w:val="Normal"/>
    <w:link w:val="TextonotapieCar"/>
    <w:uiPriority w:val="99"/>
    <w:semiHidden w:val="1"/>
    <w:unhideWhenUsed w:val="1"/>
    <w:rsid w:val="001438F1"/>
    <w:pPr>
      <w:spacing w:line="240" w:lineRule="auto"/>
    </w:pPr>
    <w:rPr>
      <w:rFonts w:asciiTheme="minorHAnsi" w:cstheme="minorBidi" w:eastAsiaTheme="minorHAnsi" w:hAnsiTheme="minorHAnsi"/>
      <w:sz w:val="20"/>
      <w:szCs w:val="20"/>
      <w:lang w:val="en-US"/>
    </w:rPr>
  </w:style>
  <w:style w:type="character" w:styleId="TextonotapieCar" w:customStyle="1">
    <w:name w:val="Texto nota pie Car"/>
    <w:basedOn w:val="Fuentedeprrafopredeter"/>
    <w:link w:val="Textonotapie"/>
    <w:uiPriority w:val="99"/>
    <w:semiHidden w:val="1"/>
    <w:rsid w:val="001438F1"/>
    <w:rPr>
      <w:rFonts w:asciiTheme="minorHAnsi" w:cstheme="minorBidi" w:eastAsiaTheme="minorHAnsi" w:hAnsiTheme="minorHAnsi"/>
      <w:sz w:val="20"/>
      <w:szCs w:val="20"/>
      <w:lang w:val="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4fMcVPfNuxFcWYxWc2sV9EEA==">AMUW2mU/XWJ1U6ny2fwakGUTMX4V2yimZK4FO+Jr5lBgnIJNj99Dw7WzdqBzMfBeNcH2eqh5DF4cnUtIaRYKWyJNoPnvUIHKZ6CZDHzuwt2P5kZ9AScYZEHnyIl/vlgtjj6/TTgdRMa1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2021-06-24T21:45:00Z</dcterms:created>
  <dc:creator>Sofía Elisa Sierra Arteaga</dc:creator>
</cp:coreProperties>
</file>