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9CA" w:rsidRPr="0022629D" w:rsidRDefault="00000000" w:rsidP="0022629D">
      <w:pPr>
        <w:spacing w:line="240" w:lineRule="auto"/>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Señor/es</w:t>
      </w:r>
    </w:p>
    <w:p w14:paraId="00000002" w14:textId="77777777" w:rsidR="007C39CA" w:rsidRPr="0022629D" w:rsidRDefault="00000000" w:rsidP="0022629D">
      <w:pPr>
        <w:spacing w:line="240" w:lineRule="auto"/>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 xml:space="preserve">INSPECCIÓN DE POLICÍA DE [______________] </w:t>
      </w:r>
    </w:p>
    <w:p w14:paraId="00000003" w14:textId="77777777" w:rsidR="007C39CA" w:rsidRPr="0022629D" w:rsidRDefault="00000000" w:rsidP="0022629D">
      <w:pPr>
        <w:spacing w:line="240" w:lineRule="auto"/>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[Ciudad]</w:t>
      </w:r>
    </w:p>
    <w:p w14:paraId="00000004" w14:textId="77777777" w:rsidR="007C39CA" w:rsidRPr="0022629D" w:rsidRDefault="00000000" w:rsidP="0022629D">
      <w:pPr>
        <w:spacing w:line="240" w:lineRule="auto"/>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[Fecha]</w:t>
      </w:r>
    </w:p>
    <w:p w14:paraId="72E3CF32" w14:textId="77777777" w:rsidR="0022629D" w:rsidRPr="0022629D" w:rsidRDefault="0022629D" w:rsidP="0022629D">
      <w:pPr>
        <w:spacing w:line="240" w:lineRule="auto"/>
        <w:rPr>
          <w:rFonts w:ascii="IBM Plex Sans" w:eastAsia="Times New Roman" w:hAnsi="IBM Plex Sans" w:cs="Times New Roman"/>
          <w:b/>
          <w:sz w:val="21"/>
          <w:szCs w:val="21"/>
        </w:rPr>
      </w:pPr>
    </w:p>
    <w:p w14:paraId="00000009" w14:textId="0FBD7951" w:rsidR="007C39CA" w:rsidRPr="0022629D" w:rsidRDefault="00000000" w:rsidP="0022629D">
      <w:pPr>
        <w:spacing w:line="240" w:lineRule="auto"/>
        <w:jc w:val="right"/>
        <w:rPr>
          <w:rFonts w:ascii="IBM Plex Sans" w:eastAsia="Times New Roman" w:hAnsi="IBM Plex Sans" w:cs="Times New Roman"/>
          <w:sz w:val="21"/>
          <w:szCs w:val="21"/>
          <w:highlight w:val="yellow"/>
        </w:rPr>
      </w:pPr>
      <w:r w:rsidRPr="0022629D">
        <w:rPr>
          <w:rFonts w:ascii="IBM Plex Sans" w:eastAsia="Times New Roman" w:hAnsi="IBM Plex Sans" w:cs="Times New Roman"/>
          <w:b/>
          <w:sz w:val="21"/>
          <w:szCs w:val="21"/>
        </w:rPr>
        <w:t>R</w:t>
      </w:r>
      <w:r w:rsidR="0022629D" w:rsidRPr="0022629D">
        <w:rPr>
          <w:rFonts w:ascii="IBM Plex Sans" w:eastAsia="Times New Roman" w:hAnsi="IBM Plex Sans" w:cs="Times New Roman"/>
          <w:b/>
          <w:sz w:val="21"/>
          <w:szCs w:val="21"/>
        </w:rPr>
        <w:t>eferencia:</w:t>
      </w:r>
      <w:r w:rsidRPr="0022629D">
        <w:rPr>
          <w:rFonts w:ascii="IBM Plex Sans" w:eastAsia="Times New Roman" w:hAnsi="IBM Plex Sans" w:cs="Times New Roman"/>
          <w:sz w:val="21"/>
          <w:szCs w:val="21"/>
        </w:rPr>
        <w:t xml:space="preserve"> </w:t>
      </w:r>
      <w:r w:rsidR="0022629D" w:rsidRPr="0022629D">
        <w:rPr>
          <w:rFonts w:ascii="IBM Plex Sans" w:eastAsia="Times New Roman" w:hAnsi="IBM Plex Sans" w:cs="Times New Roman"/>
          <w:sz w:val="21"/>
          <w:szCs w:val="21"/>
        </w:rPr>
        <w:t xml:space="preserve">Objeción de comparendo No. </w:t>
      </w:r>
      <w:r w:rsidRPr="0022629D">
        <w:rPr>
          <w:rFonts w:ascii="IBM Plex Sans" w:eastAsia="Times New Roman" w:hAnsi="IBM Plex Sans" w:cs="Times New Roman"/>
          <w:sz w:val="21"/>
          <w:szCs w:val="21"/>
        </w:rPr>
        <w:t>______________.</w:t>
      </w:r>
    </w:p>
    <w:p w14:paraId="0000000A" w14:textId="77777777" w:rsidR="007C39CA" w:rsidRPr="0022629D" w:rsidRDefault="007C39CA" w:rsidP="0022629D">
      <w:pPr>
        <w:spacing w:line="240" w:lineRule="auto"/>
        <w:ind w:left="3540" w:firstLine="708"/>
        <w:jc w:val="center"/>
        <w:rPr>
          <w:rFonts w:ascii="IBM Plex Sans" w:eastAsia="Times New Roman" w:hAnsi="IBM Plex Sans" w:cs="Times New Roman"/>
          <w:sz w:val="21"/>
          <w:szCs w:val="21"/>
          <w:highlight w:val="yellow"/>
        </w:rPr>
      </w:pPr>
    </w:p>
    <w:p w14:paraId="0000000B" w14:textId="77777777" w:rsidR="007C39CA" w:rsidRPr="0022629D" w:rsidRDefault="007C39CA" w:rsidP="0022629D">
      <w:pPr>
        <w:spacing w:line="240" w:lineRule="auto"/>
        <w:jc w:val="center"/>
        <w:rPr>
          <w:rFonts w:ascii="IBM Plex Sans" w:eastAsia="Times New Roman" w:hAnsi="IBM Plex Sans" w:cs="Times New Roman"/>
          <w:b/>
          <w:sz w:val="21"/>
          <w:szCs w:val="21"/>
        </w:rPr>
      </w:pPr>
    </w:p>
    <w:p w14:paraId="0000000C"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 xml:space="preserve">Yo, _______________, identificada con el número de cédula _______________ de la ciudad de _____________, me dispongo a presentar el siguiente recurso de objeción al comparendo #_____________ y a ejercer mi derecho al debido proceso, conforme al artículo 222 de la ley 1801 del 2016, debido a que dicho comparendo fue impuesto de manera injusta y sin prueba alguna contra mi persona. Además, quiero poner en conocimiento de la policía los hechos que describiré para que se inicien igualmente las sanciones disciplinarias pertinentes. </w:t>
      </w:r>
    </w:p>
    <w:p w14:paraId="0000000D" w14:textId="77777777" w:rsidR="007C39CA" w:rsidRPr="0022629D" w:rsidRDefault="007C39CA" w:rsidP="0022629D">
      <w:pPr>
        <w:spacing w:line="240" w:lineRule="auto"/>
        <w:jc w:val="center"/>
        <w:rPr>
          <w:rFonts w:ascii="IBM Plex Sans" w:eastAsia="Times New Roman" w:hAnsi="IBM Plex Sans" w:cs="Times New Roman"/>
          <w:b/>
          <w:sz w:val="21"/>
          <w:szCs w:val="21"/>
        </w:rPr>
      </w:pPr>
    </w:p>
    <w:p w14:paraId="0000000E" w14:textId="22598F5C" w:rsidR="007C39CA" w:rsidRPr="0022629D" w:rsidRDefault="00000000" w:rsidP="0022629D">
      <w:pPr>
        <w:spacing w:line="240" w:lineRule="auto"/>
        <w:jc w:val="center"/>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HECHOS</w:t>
      </w:r>
    </w:p>
    <w:p w14:paraId="5DE455A6" w14:textId="77777777" w:rsidR="0022629D" w:rsidRPr="0022629D" w:rsidRDefault="0022629D" w:rsidP="0022629D">
      <w:pPr>
        <w:spacing w:line="240" w:lineRule="auto"/>
        <w:jc w:val="center"/>
        <w:rPr>
          <w:rFonts w:ascii="IBM Plex Sans" w:eastAsia="Times New Roman" w:hAnsi="IBM Plex Sans" w:cs="Times New Roman"/>
          <w:b/>
          <w:sz w:val="21"/>
          <w:szCs w:val="21"/>
        </w:rPr>
      </w:pPr>
    </w:p>
    <w:p w14:paraId="0000000F" w14:textId="77777777" w:rsidR="007C39CA" w:rsidRPr="0022629D" w:rsidRDefault="00000000" w:rsidP="0022629D">
      <w:pPr>
        <w:spacing w:line="240" w:lineRule="auto"/>
        <w:jc w:val="both"/>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 xml:space="preserve">PRIMERO: </w:t>
      </w:r>
      <w:r w:rsidRPr="0022629D">
        <w:rPr>
          <w:rFonts w:ascii="IBM Plex Sans" w:eastAsia="Garamond" w:hAnsi="IBM Plex Sans" w:cs="Garamond"/>
          <w:sz w:val="21"/>
          <w:szCs w:val="21"/>
          <w:highlight w:val="yellow"/>
        </w:rPr>
        <w:t>Describir lo más detalladamente todo lo ocurrido en orden cronológico. Prestar especial atención a aspectos de tiempo, modo y lugar. (EJ.: qué se encontraba haciendo en el momento cuando le impusieron el comparendo,  qué hora era, en qué lugar fue, cómo fue el abordaje inicial, cuál fue el lenguaje usado, preguntar detallar qué evidencias existen para sustentar cada uno de los hechos, con quiénes estaba, cuántos policías eran, qué le dijeron, etc.) Si tiene las placas de los agentes de la policía, por favor referenciarlas en los hechos de la siguiente forma: “Me encontraba en el parque de los novios cuando el agente de placas 111111 (siempre es un número de 6 dígitos) me interceptó y……”</w:t>
      </w:r>
    </w:p>
    <w:p w14:paraId="00000010" w14:textId="77777777" w:rsidR="007C39CA" w:rsidRPr="0022629D" w:rsidRDefault="007C39CA" w:rsidP="0022629D">
      <w:pPr>
        <w:spacing w:line="240" w:lineRule="auto"/>
        <w:jc w:val="both"/>
        <w:rPr>
          <w:rFonts w:ascii="IBM Plex Sans" w:eastAsia="Times New Roman" w:hAnsi="IBM Plex Sans" w:cs="Times New Roman"/>
          <w:b/>
          <w:sz w:val="21"/>
          <w:szCs w:val="21"/>
        </w:rPr>
      </w:pPr>
    </w:p>
    <w:p w14:paraId="00000011" w14:textId="77777777" w:rsidR="007C39CA" w:rsidRDefault="00000000" w:rsidP="0022629D">
      <w:pPr>
        <w:spacing w:line="240" w:lineRule="auto"/>
        <w:jc w:val="both"/>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 xml:space="preserve">SEGUNDO: </w:t>
      </w:r>
    </w:p>
    <w:p w14:paraId="17B7D002" w14:textId="77777777" w:rsidR="0022629D" w:rsidRPr="0022629D" w:rsidRDefault="0022629D" w:rsidP="0022629D">
      <w:pPr>
        <w:spacing w:line="240" w:lineRule="auto"/>
        <w:jc w:val="both"/>
        <w:rPr>
          <w:rFonts w:ascii="IBM Plex Sans" w:eastAsia="Times New Roman" w:hAnsi="IBM Plex Sans" w:cs="Times New Roman"/>
          <w:b/>
          <w:sz w:val="21"/>
          <w:szCs w:val="21"/>
        </w:rPr>
      </w:pPr>
    </w:p>
    <w:p w14:paraId="00000012" w14:textId="77777777" w:rsidR="007C39CA" w:rsidRDefault="00000000" w:rsidP="0022629D">
      <w:pPr>
        <w:spacing w:line="240" w:lineRule="auto"/>
        <w:jc w:val="both"/>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 xml:space="preserve">TERCERO: </w:t>
      </w:r>
    </w:p>
    <w:p w14:paraId="62311B3B" w14:textId="77777777" w:rsidR="0022629D" w:rsidRPr="0022629D" w:rsidRDefault="0022629D" w:rsidP="0022629D">
      <w:pPr>
        <w:spacing w:line="240" w:lineRule="auto"/>
        <w:jc w:val="both"/>
        <w:rPr>
          <w:rFonts w:ascii="IBM Plex Sans" w:eastAsia="Times New Roman" w:hAnsi="IBM Plex Sans" w:cs="Times New Roman"/>
          <w:sz w:val="21"/>
          <w:szCs w:val="21"/>
        </w:rPr>
      </w:pPr>
    </w:p>
    <w:p w14:paraId="00000013" w14:textId="77777777" w:rsidR="007C39CA" w:rsidRPr="0022629D" w:rsidRDefault="00000000" w:rsidP="0022629D">
      <w:pPr>
        <w:spacing w:line="240" w:lineRule="auto"/>
        <w:jc w:val="both"/>
        <w:rPr>
          <w:rFonts w:ascii="IBM Plex Sans" w:eastAsia="Times New Roman" w:hAnsi="IBM Plex Sans" w:cs="Times New Roman"/>
          <w:sz w:val="21"/>
          <w:szCs w:val="21"/>
          <w:highlight w:val="yellow"/>
        </w:rPr>
      </w:pPr>
      <w:r w:rsidRPr="0022629D">
        <w:rPr>
          <w:rFonts w:ascii="IBM Plex Sans" w:eastAsia="Times New Roman" w:hAnsi="IBM Plex Sans" w:cs="Times New Roman"/>
          <w:b/>
          <w:sz w:val="21"/>
          <w:szCs w:val="21"/>
        </w:rPr>
        <w:t>CUARTO:</w:t>
      </w:r>
    </w:p>
    <w:p w14:paraId="00000014" w14:textId="77777777" w:rsidR="007C39CA" w:rsidRPr="0022629D" w:rsidRDefault="007C39CA" w:rsidP="0022629D">
      <w:pPr>
        <w:spacing w:line="240" w:lineRule="auto"/>
        <w:jc w:val="both"/>
        <w:rPr>
          <w:rFonts w:ascii="IBM Plex Sans" w:eastAsia="Times New Roman" w:hAnsi="IBM Plex Sans" w:cs="Times New Roman"/>
          <w:sz w:val="21"/>
          <w:szCs w:val="21"/>
          <w:highlight w:val="yellow"/>
        </w:rPr>
      </w:pPr>
    </w:p>
    <w:p w14:paraId="00000015" w14:textId="77777777" w:rsidR="007C39CA" w:rsidRPr="0022629D" w:rsidRDefault="00000000" w:rsidP="0022629D">
      <w:pPr>
        <w:spacing w:line="240" w:lineRule="auto"/>
        <w:jc w:val="center"/>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PETICIÓN</w:t>
      </w:r>
    </w:p>
    <w:p w14:paraId="74BB145D" w14:textId="77777777" w:rsidR="0022629D" w:rsidRPr="0022629D" w:rsidRDefault="0022629D" w:rsidP="0022629D">
      <w:pPr>
        <w:spacing w:line="240" w:lineRule="auto"/>
        <w:jc w:val="center"/>
        <w:rPr>
          <w:rFonts w:ascii="IBM Plex Sans" w:eastAsia="Times New Roman" w:hAnsi="IBM Plex Sans" w:cs="Times New Roman"/>
          <w:b/>
          <w:sz w:val="21"/>
          <w:szCs w:val="21"/>
        </w:rPr>
      </w:pPr>
    </w:p>
    <w:p w14:paraId="00000016" w14:textId="392172DD"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Solicito que me sean amparados mis derechos fundamentales al debido proceso, que el comparendo</w:t>
      </w:r>
      <w:r w:rsidR="0022629D">
        <w:rPr>
          <w:rFonts w:ascii="IBM Plex Sans" w:eastAsia="Times New Roman" w:hAnsi="IBM Plex Sans" w:cs="Times New Roman"/>
          <w:sz w:val="21"/>
          <w:szCs w:val="21"/>
        </w:rPr>
        <w:t xml:space="preserve"> No.</w:t>
      </w:r>
      <w:r w:rsidRPr="0022629D">
        <w:rPr>
          <w:rFonts w:ascii="IBM Plex Sans" w:eastAsia="Times New Roman" w:hAnsi="IBM Plex Sans" w:cs="Times New Roman"/>
          <w:sz w:val="21"/>
          <w:szCs w:val="21"/>
        </w:rPr>
        <w:t xml:space="preserve"> ___________ se revoque y  que se elimine el correspondiente </w:t>
      </w:r>
      <w:r w:rsidR="0022629D">
        <w:rPr>
          <w:rFonts w:ascii="IBM Plex Sans" w:eastAsia="Times New Roman" w:hAnsi="IBM Plex Sans" w:cs="Times New Roman"/>
          <w:sz w:val="21"/>
          <w:szCs w:val="21"/>
        </w:rPr>
        <w:t>r</w:t>
      </w:r>
      <w:r w:rsidRPr="0022629D">
        <w:rPr>
          <w:rFonts w:ascii="IBM Plex Sans" w:eastAsia="Times New Roman" w:hAnsi="IBM Plex Sans" w:cs="Times New Roman"/>
          <w:sz w:val="21"/>
          <w:szCs w:val="21"/>
        </w:rPr>
        <w:t xml:space="preserve">egistro en el </w:t>
      </w:r>
      <w:r w:rsidR="0022629D">
        <w:rPr>
          <w:rFonts w:ascii="IBM Plex Sans" w:eastAsia="Times New Roman" w:hAnsi="IBM Plex Sans" w:cs="Times New Roman"/>
          <w:sz w:val="21"/>
          <w:szCs w:val="21"/>
        </w:rPr>
        <w:t>S</w:t>
      </w:r>
      <w:r w:rsidRPr="0022629D">
        <w:rPr>
          <w:rFonts w:ascii="IBM Plex Sans" w:eastAsia="Times New Roman" w:hAnsi="IBM Plex Sans" w:cs="Times New Roman"/>
          <w:sz w:val="21"/>
          <w:szCs w:val="21"/>
        </w:rPr>
        <w:t xml:space="preserve">istema Nacional de Medidas Correctivas </w:t>
      </w:r>
      <w:r w:rsidR="0022629D">
        <w:rPr>
          <w:rFonts w:ascii="IBM Plex Sans" w:eastAsia="Times New Roman" w:hAnsi="IBM Plex Sans" w:cs="Times New Roman"/>
          <w:sz w:val="21"/>
          <w:szCs w:val="21"/>
        </w:rPr>
        <w:t>(</w:t>
      </w:r>
      <w:r w:rsidRPr="0022629D">
        <w:rPr>
          <w:rFonts w:ascii="IBM Plex Sans" w:eastAsia="Times New Roman" w:hAnsi="IBM Plex Sans" w:cs="Times New Roman"/>
          <w:sz w:val="21"/>
          <w:szCs w:val="21"/>
        </w:rPr>
        <w:t>RNMC</w:t>
      </w:r>
      <w:r w:rsidR="0022629D">
        <w:rPr>
          <w:rFonts w:ascii="IBM Plex Sans" w:eastAsia="Times New Roman" w:hAnsi="IBM Plex Sans" w:cs="Times New Roman"/>
          <w:sz w:val="21"/>
          <w:szCs w:val="21"/>
        </w:rPr>
        <w:t>)</w:t>
      </w:r>
      <w:r w:rsidRPr="0022629D">
        <w:rPr>
          <w:rFonts w:ascii="IBM Plex Sans" w:eastAsia="Times New Roman" w:hAnsi="IBM Plex Sans" w:cs="Times New Roman"/>
          <w:sz w:val="21"/>
          <w:szCs w:val="21"/>
        </w:rPr>
        <w:t xml:space="preserve">.  </w:t>
      </w:r>
    </w:p>
    <w:p w14:paraId="00000017"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18" w14:textId="7AC8AF76" w:rsidR="007C39CA" w:rsidRPr="0022629D" w:rsidRDefault="00000000" w:rsidP="0022629D">
      <w:pPr>
        <w:spacing w:line="240" w:lineRule="auto"/>
        <w:jc w:val="center"/>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FUNDAMENTOS DE DERECHO</w:t>
      </w:r>
    </w:p>
    <w:p w14:paraId="26C80948" w14:textId="77777777" w:rsidR="0022629D" w:rsidRPr="0022629D" w:rsidRDefault="0022629D" w:rsidP="0022629D">
      <w:pPr>
        <w:spacing w:line="240" w:lineRule="auto"/>
        <w:jc w:val="center"/>
        <w:rPr>
          <w:rFonts w:ascii="IBM Plex Sans" w:eastAsia="Times New Roman" w:hAnsi="IBM Plex Sans" w:cs="Times New Roman"/>
          <w:b/>
          <w:sz w:val="21"/>
          <w:szCs w:val="21"/>
        </w:rPr>
      </w:pPr>
    </w:p>
    <w:p w14:paraId="00000019"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 xml:space="preserve">Por medio de la sentencia C-221 de 1994, la Corte Constitucional sentó un precedente al determinar y garantizar el derecho a la dosis mínima de las sustancias psicoactivas, reconociendo así el ejercicio al  derecho al libre desarrollo de la personalidad de cada persona consumidora. </w:t>
      </w:r>
    </w:p>
    <w:p w14:paraId="0000001A"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1B"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 xml:space="preserve">Bajo esta línea, la Corte ha sido enfática en demostrar cómo el consumo de la dosis mínima hace parte del ejercicio de la individualidad de las personas que deciden ejercer y las prohibiciones absolutas por parte del Estado son vulneraciones directas a los derechos de las personas.  En sentencia C-253 del 2019, la misma corporación determinó que el uso de la dosis mínima no afecta a la convivencia ciudadana y que por ende, la imposición de medidas sancionatorias son desproporcionadas cuando las personas únicamente están ejerciendo un derecho del cual están protegidos. </w:t>
      </w:r>
    </w:p>
    <w:p w14:paraId="0000001C"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1D"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Asimismo, el Consejo de Estado, en sentencia del 2019</w:t>
      </w:r>
      <w:r w:rsidRPr="0022629D">
        <w:rPr>
          <w:rFonts w:ascii="IBM Plex Sans" w:eastAsia="Times New Roman" w:hAnsi="IBM Plex Sans" w:cs="Times New Roman"/>
          <w:sz w:val="21"/>
          <w:szCs w:val="21"/>
          <w:vertAlign w:val="superscript"/>
        </w:rPr>
        <w:footnoteReference w:id="1"/>
      </w:r>
      <w:r w:rsidRPr="0022629D">
        <w:rPr>
          <w:rFonts w:ascii="IBM Plex Sans" w:eastAsia="Times New Roman" w:hAnsi="IBM Plex Sans" w:cs="Times New Roman"/>
          <w:sz w:val="21"/>
          <w:szCs w:val="21"/>
        </w:rPr>
        <w:t xml:space="preserve">, dejó sin efectos el decreto 1844 del 2018, bajo el entendido de que la Policía solo se podrá decomisar o retener la droga cuando se compruebe que el portador la va a comercializar o distribuir. En este sentido, los agentes de la policía deben tener motivaciones objetivas que puedan sustentar con pruebas de que en efecto la sustancia en cuestión estaba siendo utilizada para la venta de esta, más no para el consumo propio. La intención de esta decisión fue garantizar la libertad de ejercicio del derecho a la intimidad de las personas consumidoras y dejar de perfilar y criminalizar a los usuarios, en vez de atacar a las grandes empresas de narcotráfico. </w:t>
      </w:r>
    </w:p>
    <w:p w14:paraId="4CC68892" w14:textId="77777777" w:rsidR="0022629D" w:rsidRPr="0022629D" w:rsidRDefault="0022629D" w:rsidP="0022629D">
      <w:pPr>
        <w:spacing w:line="240" w:lineRule="auto"/>
        <w:jc w:val="both"/>
        <w:rPr>
          <w:rFonts w:ascii="IBM Plex Sans" w:eastAsia="Times New Roman" w:hAnsi="IBM Plex Sans" w:cs="Times New Roman"/>
          <w:sz w:val="21"/>
          <w:szCs w:val="21"/>
        </w:rPr>
      </w:pPr>
    </w:p>
    <w:p w14:paraId="78DD3060" w14:textId="7DB6AFC8" w:rsidR="0022629D" w:rsidRPr="0022629D" w:rsidRDefault="0022629D" w:rsidP="0022629D">
      <w:pPr>
        <w:spacing w:line="240" w:lineRule="auto"/>
        <w:jc w:val="both"/>
        <w:rPr>
          <w:rFonts w:ascii="IBM Plex Sans" w:eastAsia="IBM Plex Sans" w:hAnsi="IBM Plex Sans" w:cs="IBM Plex Sans"/>
          <w:sz w:val="21"/>
          <w:szCs w:val="21"/>
        </w:rPr>
      </w:pPr>
      <w:r w:rsidRPr="0022629D">
        <w:rPr>
          <w:rFonts w:ascii="IBM Plex Sans" w:eastAsia="IBM Plex Sans" w:hAnsi="IBM Plex Sans" w:cs="IBM Plex Sans"/>
          <w:sz w:val="21"/>
          <w:szCs w:val="21"/>
        </w:rPr>
        <w:t>Por último, en la sentencia C-127 del 2023</w:t>
      </w:r>
      <w:r w:rsidRPr="0022629D">
        <w:rPr>
          <w:rFonts w:ascii="IBM Plex Sans" w:eastAsia="IBM Plex Sans" w:hAnsi="IBM Plex Sans" w:cs="IBM Plex Sans"/>
          <w:sz w:val="21"/>
          <w:szCs w:val="21"/>
          <w:vertAlign w:val="superscript"/>
        </w:rPr>
        <w:footnoteReference w:id="2"/>
      </w:r>
      <w:r w:rsidRPr="0022629D">
        <w:rPr>
          <w:rFonts w:ascii="IBM Plex Sans" w:eastAsia="IBM Plex Sans" w:hAnsi="IBM Plex Sans" w:cs="IBM Plex Sans"/>
          <w:sz w:val="21"/>
          <w:szCs w:val="21"/>
        </w:rPr>
        <w:t>, la Corte Constitucional determinó que</w:t>
      </w:r>
      <w:r w:rsidRPr="0022629D">
        <w:rPr>
          <w:rFonts w:ascii="IBM Plex Sans" w:eastAsia="IBM Plex Sans" w:hAnsi="IBM Plex Sans" w:cs="IBM Plex Sans"/>
          <w:sz w:val="21"/>
          <w:szCs w:val="21"/>
        </w:rPr>
        <w:t xml:space="preserve"> aunque se pueden imponer restricciones al consumo en el espacio público para proteger los derechos de la infancia y la adolescencia, la prohibición absoluta es desproporcionada y vulnera los derechos de las personas usuarias de drogas. Por esto, se delegó a las autoridades locales para que publiquen regulaciones que delimiten las condiciones sobre porte y consumo</w:t>
      </w:r>
      <w:r>
        <w:rPr>
          <w:rFonts w:ascii="IBM Plex Sans" w:eastAsia="IBM Plex Sans" w:hAnsi="IBM Plex Sans" w:cs="IBM Plex Sans"/>
          <w:sz w:val="21"/>
          <w:szCs w:val="21"/>
        </w:rPr>
        <w:t xml:space="preserve"> en cada lugar del país</w:t>
      </w:r>
      <w:r w:rsidRPr="0022629D">
        <w:rPr>
          <w:rFonts w:ascii="IBM Plex Sans" w:eastAsia="IBM Plex Sans" w:hAnsi="IBM Plex Sans" w:cs="IBM Plex Sans"/>
          <w:sz w:val="21"/>
          <w:szCs w:val="21"/>
        </w:rPr>
        <w:t xml:space="preserve">. </w:t>
      </w:r>
      <w:r w:rsidRPr="0022629D">
        <w:rPr>
          <w:rFonts w:ascii="IBM Plex Sans" w:eastAsia="Times New Roman" w:hAnsi="IBM Plex Sans" w:cs="Times New Roman"/>
          <w:sz w:val="21"/>
          <w:szCs w:val="21"/>
          <w:highlight w:val="yellow"/>
        </w:rPr>
        <w:t>[</w:t>
      </w:r>
      <w:r w:rsidRPr="0022629D">
        <w:rPr>
          <w:rFonts w:ascii="IBM Plex Sans" w:eastAsia="Times New Roman" w:hAnsi="IBM Plex Sans" w:cs="Times New Roman"/>
          <w:sz w:val="21"/>
          <w:szCs w:val="21"/>
          <w:highlight w:val="yellow"/>
        </w:rPr>
        <w:t>Hablar sobre regulaciones del municipio donde se impuso el comparendo para argumentar por qué se hizo en un lugar permitido</w:t>
      </w:r>
      <w:r w:rsidRPr="0022629D">
        <w:rPr>
          <w:rFonts w:ascii="IBM Plex Sans" w:eastAsia="Times New Roman" w:hAnsi="IBM Plex Sans" w:cs="Times New Roman"/>
          <w:sz w:val="21"/>
          <w:szCs w:val="21"/>
          <w:highlight w:val="yellow"/>
        </w:rPr>
        <w:t>].</w:t>
      </w:r>
    </w:p>
    <w:p w14:paraId="0000001E"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1F" w14:textId="268D393F"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 xml:space="preserve">Por lo tanto, en el caso que traigo a consideración, es evidente cómo los policías que impusieron el comparendo actuaron sin fundamento alguno </w:t>
      </w:r>
      <w:r w:rsidRPr="0022629D">
        <w:rPr>
          <w:rFonts w:ascii="IBM Plex Sans" w:eastAsia="Times New Roman" w:hAnsi="IBM Plex Sans" w:cs="Times New Roman"/>
          <w:sz w:val="21"/>
          <w:szCs w:val="21"/>
          <w:highlight w:val="yellow"/>
        </w:rPr>
        <w:t xml:space="preserve">[Opcional: </w:t>
      </w:r>
      <w:r w:rsidR="0022629D" w:rsidRPr="0022629D">
        <w:rPr>
          <w:rFonts w:ascii="IBM Plex Sans" w:eastAsia="Times New Roman" w:hAnsi="IBM Plex Sans" w:cs="Times New Roman"/>
          <w:sz w:val="21"/>
          <w:szCs w:val="21"/>
          <w:highlight w:val="yellow"/>
        </w:rPr>
        <w:t>relacionar hechos con lo anterior</w:t>
      </w:r>
      <w:r w:rsidR="0022629D" w:rsidRPr="0022629D">
        <w:rPr>
          <w:rFonts w:ascii="IBM Plex Sans" w:eastAsia="Times New Roman" w:hAnsi="IBM Plex Sans" w:cs="Times New Roman"/>
          <w:sz w:val="21"/>
          <w:szCs w:val="21"/>
          <w:highlight w:val="yellow"/>
        </w:rPr>
        <w:t>]</w:t>
      </w:r>
      <w:r w:rsidRPr="0022629D">
        <w:rPr>
          <w:rFonts w:ascii="IBM Plex Sans" w:eastAsia="Times New Roman" w:hAnsi="IBM Plex Sans" w:cs="Times New Roman"/>
          <w:sz w:val="21"/>
          <w:szCs w:val="21"/>
          <w:highlight w:val="yellow"/>
        </w:rPr>
        <w:t>.</w:t>
      </w:r>
      <w:r w:rsidRPr="0022629D">
        <w:rPr>
          <w:rFonts w:ascii="IBM Plex Sans" w:eastAsia="Times New Roman" w:hAnsi="IBM Plex Sans" w:cs="Times New Roman"/>
          <w:sz w:val="21"/>
          <w:szCs w:val="21"/>
        </w:rPr>
        <w:t xml:space="preserve"> A pesar de que la jurisprudencia lo exige, los policías no tenían pruebas suficientes para demostrar que me encontraba </w:t>
      </w:r>
      <w:r w:rsidR="0022629D" w:rsidRPr="0022629D">
        <w:rPr>
          <w:rFonts w:ascii="IBM Plex Sans" w:eastAsia="Times New Roman" w:hAnsi="IBM Plex Sans" w:cs="Times New Roman"/>
          <w:sz w:val="21"/>
          <w:szCs w:val="21"/>
        </w:rPr>
        <w:t>consumiendo</w:t>
      </w:r>
      <w:r w:rsidRPr="0022629D">
        <w:rPr>
          <w:rFonts w:ascii="IBM Plex Sans" w:eastAsia="Times New Roman" w:hAnsi="IBM Plex Sans" w:cs="Times New Roman"/>
          <w:sz w:val="21"/>
          <w:szCs w:val="21"/>
        </w:rPr>
        <w:t xml:space="preserve"> una dosis superior a la mínima y/o usando drogas en</w:t>
      </w:r>
      <w:r w:rsidR="0022629D" w:rsidRPr="0022629D">
        <w:rPr>
          <w:rFonts w:ascii="IBM Plex Sans" w:eastAsia="Times New Roman" w:hAnsi="IBM Plex Sans" w:cs="Times New Roman"/>
          <w:sz w:val="21"/>
          <w:szCs w:val="21"/>
        </w:rPr>
        <w:t xml:space="preserve"> un lugar del </w:t>
      </w:r>
      <w:r w:rsidRPr="0022629D">
        <w:rPr>
          <w:rFonts w:ascii="IBM Plex Sans" w:eastAsia="Times New Roman" w:hAnsi="IBM Plex Sans" w:cs="Times New Roman"/>
          <w:sz w:val="21"/>
          <w:szCs w:val="21"/>
        </w:rPr>
        <w:t>espacio público</w:t>
      </w:r>
      <w:r w:rsidR="0022629D" w:rsidRPr="0022629D">
        <w:rPr>
          <w:rFonts w:ascii="IBM Plex Sans" w:eastAsia="Times New Roman" w:hAnsi="IBM Plex Sans" w:cs="Times New Roman"/>
          <w:sz w:val="21"/>
          <w:szCs w:val="21"/>
        </w:rPr>
        <w:t xml:space="preserve"> donde hay restricciones</w:t>
      </w:r>
      <w:r w:rsidRPr="0022629D">
        <w:rPr>
          <w:rFonts w:ascii="IBM Plex Sans" w:eastAsia="Times New Roman" w:hAnsi="IBM Plex Sans" w:cs="Times New Roman"/>
          <w:sz w:val="21"/>
          <w:szCs w:val="21"/>
        </w:rPr>
        <w:t xml:space="preserve">. El actuar de estos agentes fue completamente arbitrario e injustificado y por ende el comparendo no tiene ningún tipo de sustento fáctico. </w:t>
      </w:r>
    </w:p>
    <w:p w14:paraId="7B2E88DA" w14:textId="77777777" w:rsidR="0022629D" w:rsidRPr="0022629D" w:rsidRDefault="0022629D" w:rsidP="0022629D">
      <w:pPr>
        <w:spacing w:line="240" w:lineRule="auto"/>
        <w:jc w:val="both"/>
        <w:rPr>
          <w:rFonts w:ascii="IBM Plex Sans" w:eastAsia="Times New Roman" w:hAnsi="IBM Plex Sans" w:cs="Times New Roman"/>
          <w:sz w:val="21"/>
          <w:szCs w:val="21"/>
        </w:rPr>
      </w:pPr>
    </w:p>
    <w:p w14:paraId="00000020" w14:textId="77777777" w:rsidR="007C39CA" w:rsidRPr="0022629D" w:rsidRDefault="00000000" w:rsidP="0022629D">
      <w:pPr>
        <w:spacing w:line="240" w:lineRule="auto"/>
        <w:jc w:val="center"/>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ANEXOS</w:t>
      </w:r>
    </w:p>
    <w:p w14:paraId="4B535C6F" w14:textId="77777777" w:rsidR="0022629D" w:rsidRPr="0022629D" w:rsidRDefault="0022629D" w:rsidP="0022629D">
      <w:pPr>
        <w:spacing w:line="240" w:lineRule="auto"/>
        <w:jc w:val="center"/>
        <w:rPr>
          <w:rFonts w:ascii="IBM Plex Sans" w:eastAsia="Times New Roman" w:hAnsi="IBM Plex Sans" w:cs="Times New Roman"/>
          <w:b/>
          <w:sz w:val="21"/>
          <w:szCs w:val="21"/>
        </w:rPr>
      </w:pPr>
    </w:p>
    <w:p w14:paraId="00000021" w14:textId="77777777" w:rsidR="007C39CA" w:rsidRPr="0022629D" w:rsidRDefault="00000000" w:rsidP="0022629D">
      <w:pPr>
        <w:spacing w:line="240" w:lineRule="auto"/>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Adjunto al documento se encuentran:</w:t>
      </w:r>
    </w:p>
    <w:p w14:paraId="00000022" w14:textId="77777777" w:rsidR="007C39CA" w:rsidRPr="0022629D" w:rsidRDefault="007C39CA" w:rsidP="0022629D">
      <w:pPr>
        <w:spacing w:line="240" w:lineRule="auto"/>
        <w:rPr>
          <w:rFonts w:ascii="IBM Plex Sans" w:eastAsia="Times New Roman" w:hAnsi="IBM Plex Sans" w:cs="Times New Roman"/>
          <w:sz w:val="21"/>
          <w:szCs w:val="21"/>
        </w:rPr>
      </w:pPr>
    </w:p>
    <w:p w14:paraId="00000023" w14:textId="77777777" w:rsidR="007C39CA" w:rsidRPr="0022629D" w:rsidRDefault="00000000" w:rsidP="0022629D">
      <w:pPr>
        <w:numPr>
          <w:ilvl w:val="0"/>
          <w:numId w:val="1"/>
        </w:numPr>
        <w:spacing w:line="240" w:lineRule="auto"/>
        <w:rPr>
          <w:rFonts w:ascii="IBM Plex Sans" w:eastAsia="Times New Roman" w:hAnsi="IBM Plex Sans" w:cs="Times New Roman"/>
          <w:sz w:val="21"/>
          <w:szCs w:val="21"/>
          <w:highlight w:val="yellow"/>
        </w:rPr>
      </w:pPr>
      <w:r w:rsidRPr="0022629D">
        <w:rPr>
          <w:rFonts w:ascii="IBM Plex Sans" w:eastAsia="Times New Roman" w:hAnsi="IBM Plex Sans" w:cs="Times New Roman"/>
          <w:sz w:val="21"/>
          <w:szCs w:val="21"/>
          <w:highlight w:val="yellow"/>
        </w:rPr>
        <w:t xml:space="preserve">Copia del comparendo con número </w:t>
      </w:r>
    </w:p>
    <w:p w14:paraId="00000024" w14:textId="77777777" w:rsidR="007C39CA" w:rsidRPr="0022629D" w:rsidRDefault="00000000" w:rsidP="0022629D">
      <w:pPr>
        <w:numPr>
          <w:ilvl w:val="0"/>
          <w:numId w:val="1"/>
        </w:numPr>
        <w:spacing w:line="240" w:lineRule="auto"/>
        <w:rPr>
          <w:rFonts w:ascii="IBM Plex Sans" w:eastAsia="Times New Roman" w:hAnsi="IBM Plex Sans" w:cs="Times New Roman"/>
          <w:sz w:val="21"/>
          <w:szCs w:val="21"/>
          <w:highlight w:val="yellow"/>
        </w:rPr>
      </w:pPr>
      <w:r w:rsidRPr="0022629D">
        <w:rPr>
          <w:rFonts w:ascii="IBM Plex Sans" w:eastAsia="Times New Roman" w:hAnsi="IBM Plex Sans" w:cs="Times New Roman"/>
          <w:sz w:val="21"/>
          <w:szCs w:val="21"/>
          <w:highlight w:val="yellow"/>
        </w:rPr>
        <w:t xml:space="preserve">Imágenes o videos que se tengan de los agentes, o de la situación. </w:t>
      </w:r>
    </w:p>
    <w:p w14:paraId="00000025" w14:textId="77777777" w:rsidR="007C39CA" w:rsidRPr="0022629D" w:rsidRDefault="007C39CA" w:rsidP="0022629D">
      <w:pPr>
        <w:numPr>
          <w:ilvl w:val="0"/>
          <w:numId w:val="1"/>
        </w:numPr>
        <w:spacing w:line="240" w:lineRule="auto"/>
        <w:rPr>
          <w:rFonts w:ascii="IBM Plex Sans" w:eastAsia="Times New Roman" w:hAnsi="IBM Plex Sans" w:cs="Times New Roman"/>
          <w:sz w:val="21"/>
          <w:szCs w:val="21"/>
          <w:highlight w:val="yellow"/>
        </w:rPr>
      </w:pPr>
    </w:p>
    <w:p w14:paraId="00000026"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27"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28" w14:textId="77777777" w:rsidR="007C39CA" w:rsidRPr="0022629D" w:rsidRDefault="00000000" w:rsidP="0022629D">
      <w:pPr>
        <w:spacing w:line="240" w:lineRule="auto"/>
        <w:jc w:val="center"/>
        <w:rPr>
          <w:rFonts w:ascii="IBM Plex Sans" w:eastAsia="Times New Roman" w:hAnsi="IBM Plex Sans" w:cs="Times New Roman"/>
          <w:b/>
          <w:sz w:val="21"/>
          <w:szCs w:val="21"/>
        </w:rPr>
      </w:pPr>
      <w:r w:rsidRPr="0022629D">
        <w:rPr>
          <w:rFonts w:ascii="IBM Plex Sans" w:eastAsia="Times New Roman" w:hAnsi="IBM Plex Sans" w:cs="Times New Roman"/>
          <w:b/>
          <w:sz w:val="21"/>
          <w:szCs w:val="21"/>
        </w:rPr>
        <w:t>NOTIFICACIÓN</w:t>
      </w:r>
    </w:p>
    <w:p w14:paraId="29806A2C" w14:textId="77777777" w:rsidR="0022629D" w:rsidRPr="0022629D" w:rsidRDefault="0022629D" w:rsidP="0022629D">
      <w:pPr>
        <w:spacing w:line="240" w:lineRule="auto"/>
        <w:jc w:val="center"/>
        <w:rPr>
          <w:rFonts w:ascii="IBM Plex Sans" w:eastAsia="Times New Roman" w:hAnsi="IBM Plex Sans" w:cs="Times New Roman"/>
          <w:b/>
          <w:sz w:val="21"/>
          <w:szCs w:val="21"/>
        </w:rPr>
      </w:pPr>
    </w:p>
    <w:p w14:paraId="00000029"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Solicito cualquier notificación sea enviada al correo _____________________.</w:t>
      </w:r>
    </w:p>
    <w:p w14:paraId="0000002A"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2B"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2C" w14:textId="77777777" w:rsidR="007C39CA" w:rsidRPr="0022629D" w:rsidRDefault="00000000" w:rsidP="0022629D">
      <w:pPr>
        <w:spacing w:line="240" w:lineRule="auto"/>
        <w:jc w:val="both"/>
        <w:rPr>
          <w:rFonts w:ascii="IBM Plex Sans" w:eastAsia="Times New Roman" w:hAnsi="IBM Plex Sans" w:cs="Times New Roman"/>
          <w:sz w:val="21"/>
          <w:szCs w:val="21"/>
        </w:rPr>
      </w:pPr>
      <w:r w:rsidRPr="0022629D">
        <w:rPr>
          <w:rFonts w:ascii="IBM Plex Sans" w:eastAsia="Times New Roman" w:hAnsi="IBM Plex Sans" w:cs="Times New Roman"/>
          <w:sz w:val="21"/>
          <w:szCs w:val="21"/>
        </w:rPr>
        <w:t xml:space="preserve">Respetuosamente, </w:t>
      </w:r>
    </w:p>
    <w:p w14:paraId="0000002D"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2E" w14:textId="77777777" w:rsidR="007C39CA" w:rsidRPr="0022629D" w:rsidRDefault="00000000" w:rsidP="0022629D">
      <w:pPr>
        <w:spacing w:line="240" w:lineRule="auto"/>
        <w:jc w:val="both"/>
        <w:rPr>
          <w:rFonts w:ascii="IBM Plex Sans" w:eastAsia="Times New Roman" w:hAnsi="IBM Plex Sans" w:cs="Times New Roman"/>
          <w:sz w:val="21"/>
          <w:szCs w:val="21"/>
        </w:rPr>
      </w:pPr>
      <w:bookmarkStart w:id="0" w:name="_gjdgxs" w:colFirst="0" w:colLast="0"/>
      <w:bookmarkEnd w:id="0"/>
      <w:r w:rsidRPr="0022629D">
        <w:rPr>
          <w:rFonts w:ascii="IBM Plex Sans" w:eastAsia="Times New Roman" w:hAnsi="IBM Plex Sans" w:cs="Times New Roman"/>
          <w:sz w:val="21"/>
          <w:szCs w:val="21"/>
        </w:rPr>
        <w:t>________________________</w:t>
      </w:r>
    </w:p>
    <w:p w14:paraId="0000002F" w14:textId="77777777" w:rsidR="007C39CA" w:rsidRPr="0022629D" w:rsidRDefault="00000000" w:rsidP="0022629D">
      <w:pPr>
        <w:spacing w:line="240" w:lineRule="auto"/>
        <w:jc w:val="both"/>
        <w:rPr>
          <w:rFonts w:ascii="IBM Plex Sans" w:eastAsia="Times New Roman" w:hAnsi="IBM Plex Sans" w:cs="Times New Roman"/>
          <w:sz w:val="21"/>
          <w:szCs w:val="21"/>
          <w:highlight w:val="yellow"/>
        </w:rPr>
      </w:pPr>
      <w:bookmarkStart w:id="1" w:name="_2pko457yoz99" w:colFirst="0" w:colLast="0"/>
      <w:bookmarkEnd w:id="1"/>
      <w:r w:rsidRPr="0022629D">
        <w:rPr>
          <w:rFonts w:ascii="IBM Plex Sans" w:eastAsia="Times New Roman" w:hAnsi="IBM Plex Sans" w:cs="Times New Roman"/>
          <w:sz w:val="21"/>
          <w:szCs w:val="21"/>
          <w:highlight w:val="yellow"/>
        </w:rPr>
        <w:t>C.C. ____________________</w:t>
      </w:r>
    </w:p>
    <w:p w14:paraId="00000030" w14:textId="77777777" w:rsidR="007C39CA" w:rsidRPr="0022629D" w:rsidRDefault="007C39CA" w:rsidP="0022629D">
      <w:pPr>
        <w:spacing w:line="240" w:lineRule="auto"/>
        <w:jc w:val="both"/>
        <w:rPr>
          <w:rFonts w:ascii="IBM Plex Sans" w:eastAsia="Times New Roman" w:hAnsi="IBM Plex Sans" w:cs="Times New Roman"/>
          <w:sz w:val="21"/>
          <w:szCs w:val="21"/>
          <w:highlight w:val="yellow"/>
        </w:rPr>
      </w:pPr>
      <w:bookmarkStart w:id="2" w:name="_6pwb6vblkz8" w:colFirst="0" w:colLast="0"/>
      <w:bookmarkEnd w:id="2"/>
    </w:p>
    <w:p w14:paraId="00000031"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32" w14:textId="77777777" w:rsidR="007C39CA" w:rsidRPr="0022629D" w:rsidRDefault="007C39CA" w:rsidP="0022629D">
      <w:pPr>
        <w:spacing w:line="240" w:lineRule="auto"/>
        <w:jc w:val="both"/>
        <w:rPr>
          <w:rFonts w:ascii="IBM Plex Sans" w:eastAsia="Times New Roman" w:hAnsi="IBM Plex Sans" w:cs="Times New Roman"/>
          <w:sz w:val="21"/>
          <w:szCs w:val="21"/>
        </w:rPr>
      </w:pPr>
    </w:p>
    <w:p w14:paraId="00000033" w14:textId="77777777" w:rsidR="007C39CA" w:rsidRPr="0022629D" w:rsidRDefault="007C39CA" w:rsidP="0022629D">
      <w:pPr>
        <w:spacing w:line="240" w:lineRule="auto"/>
        <w:rPr>
          <w:rFonts w:ascii="IBM Plex Sans" w:hAnsi="IBM Plex Sans"/>
          <w:sz w:val="21"/>
          <w:szCs w:val="21"/>
        </w:rPr>
      </w:pPr>
    </w:p>
    <w:sectPr w:rsidR="007C39CA" w:rsidRPr="0022629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A876" w14:textId="77777777" w:rsidR="00171C95" w:rsidRDefault="00171C95">
      <w:pPr>
        <w:spacing w:line="240" w:lineRule="auto"/>
      </w:pPr>
      <w:r>
        <w:separator/>
      </w:r>
    </w:p>
  </w:endnote>
  <w:endnote w:type="continuationSeparator" w:id="0">
    <w:p w14:paraId="73630013" w14:textId="77777777" w:rsidR="00171C95" w:rsidRDefault="00171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8B14" w14:textId="77777777" w:rsidR="00171C95" w:rsidRDefault="00171C95">
      <w:pPr>
        <w:spacing w:line="240" w:lineRule="auto"/>
      </w:pPr>
      <w:r>
        <w:separator/>
      </w:r>
    </w:p>
  </w:footnote>
  <w:footnote w:type="continuationSeparator" w:id="0">
    <w:p w14:paraId="77E10206" w14:textId="77777777" w:rsidR="00171C95" w:rsidRDefault="00171C95">
      <w:pPr>
        <w:spacing w:line="240" w:lineRule="auto"/>
      </w:pPr>
      <w:r>
        <w:continuationSeparator/>
      </w:r>
    </w:p>
  </w:footnote>
  <w:footnote w:id="1">
    <w:p w14:paraId="00000034" w14:textId="0FF22369" w:rsidR="007C39CA" w:rsidRDefault="00000000" w:rsidP="0022629D">
      <w:pPr>
        <w:spacing w:line="240" w:lineRule="auto"/>
        <w:jc w:val="both"/>
        <w:rPr>
          <w:sz w:val="20"/>
          <w:szCs w:val="20"/>
        </w:rPr>
      </w:pPr>
      <w:r>
        <w:rPr>
          <w:vertAlign w:val="superscript"/>
        </w:rPr>
        <w:footnoteRef/>
      </w:r>
      <w:r>
        <w:rPr>
          <w:sz w:val="20"/>
          <w:szCs w:val="20"/>
        </w:rPr>
        <w:t xml:space="preserve"> </w:t>
      </w:r>
      <w:r w:rsidR="0022629D">
        <w:rPr>
          <w:sz w:val="20"/>
          <w:szCs w:val="20"/>
        </w:rPr>
        <w:t xml:space="preserve">Consejo de Estado. </w:t>
      </w:r>
      <w:r w:rsidR="0022629D" w:rsidRPr="0022629D">
        <w:rPr>
          <w:i/>
          <w:iCs/>
          <w:sz w:val="20"/>
          <w:szCs w:val="20"/>
        </w:rPr>
        <w:t>Sentencia del 20 de abril de 2020.</w:t>
      </w:r>
      <w:r w:rsidR="0022629D">
        <w:rPr>
          <w:sz w:val="20"/>
          <w:szCs w:val="20"/>
        </w:rPr>
        <w:t xml:space="preserve"> CP: Roberto Augusto Serrato Valdés. Obtenido de: </w:t>
      </w:r>
      <w:hyperlink r:id="rId1" w:history="1">
        <w:r w:rsidR="0022629D" w:rsidRPr="001D08B3">
          <w:rPr>
            <w:rStyle w:val="Hyperlink"/>
            <w:sz w:val="20"/>
            <w:szCs w:val="20"/>
          </w:rPr>
          <w:t>http://www.suin-juriscol.gov.co/viewDocumen</w:t>
        </w:r>
        <w:r w:rsidR="0022629D" w:rsidRPr="001D08B3">
          <w:rPr>
            <w:rStyle w:val="Hyperlink"/>
            <w:sz w:val="20"/>
            <w:szCs w:val="20"/>
          </w:rPr>
          <w:t>t</w:t>
        </w:r>
        <w:r w:rsidR="0022629D" w:rsidRPr="001D08B3">
          <w:rPr>
            <w:rStyle w:val="Hyperlink"/>
            <w:sz w:val="20"/>
            <w:szCs w:val="20"/>
          </w:rPr>
          <w:t>.asp?id=30039827</w:t>
        </w:r>
      </w:hyperlink>
      <w:r>
        <w:rPr>
          <w:sz w:val="20"/>
          <w:szCs w:val="20"/>
        </w:rPr>
        <w:t xml:space="preserve"> </w:t>
      </w:r>
    </w:p>
  </w:footnote>
  <w:footnote w:id="2">
    <w:p w14:paraId="5E1B6D7F" w14:textId="77777777" w:rsidR="0022629D" w:rsidRDefault="0022629D" w:rsidP="0022629D">
      <w:pPr>
        <w:spacing w:line="240" w:lineRule="auto"/>
        <w:jc w:val="both"/>
        <w:rPr>
          <w:rFonts w:ascii="IBM Plex Sans" w:eastAsia="IBM Plex Sans" w:hAnsi="IBM Plex Sans" w:cs="IBM Plex Sans"/>
          <w:sz w:val="20"/>
          <w:szCs w:val="20"/>
        </w:rPr>
      </w:pPr>
      <w:r>
        <w:rPr>
          <w:vertAlign w:val="superscript"/>
        </w:rPr>
        <w:footnoteRef/>
      </w:r>
      <w:r w:rsidRPr="0022629D">
        <w:rPr>
          <w:rFonts w:ascii="IBM Plex Sans" w:eastAsia="IBM Plex Sans" w:hAnsi="IBM Plex Sans" w:cs="IBM Plex Sans"/>
          <w:sz w:val="20"/>
          <w:szCs w:val="20"/>
          <w:lang w:val="pt-BR"/>
        </w:rPr>
        <w:t xml:space="preserve"> Corte Constitucional. </w:t>
      </w:r>
      <w:r w:rsidRPr="0022629D">
        <w:rPr>
          <w:rFonts w:ascii="IBM Plex Sans" w:eastAsia="IBM Plex Sans" w:hAnsi="IBM Plex Sans" w:cs="IBM Plex Sans"/>
          <w:i/>
          <w:sz w:val="20"/>
          <w:szCs w:val="20"/>
          <w:lang w:val="pt-BR"/>
        </w:rPr>
        <w:t>Sentencia C-127 de 2023</w:t>
      </w:r>
      <w:r w:rsidRPr="0022629D">
        <w:rPr>
          <w:rFonts w:ascii="IBM Plex Sans" w:eastAsia="IBM Plex Sans" w:hAnsi="IBM Plex Sans" w:cs="IBM Plex Sans"/>
          <w:sz w:val="20"/>
          <w:szCs w:val="20"/>
          <w:lang w:val="pt-BR"/>
        </w:rPr>
        <w:t xml:space="preserve">. </w:t>
      </w:r>
      <w:r>
        <w:rPr>
          <w:rFonts w:ascii="IBM Plex Sans" w:eastAsia="IBM Plex Sans" w:hAnsi="IBM Plex Sans" w:cs="IBM Plex Sans"/>
          <w:sz w:val="20"/>
          <w:szCs w:val="20"/>
        </w:rPr>
        <w:t>MP: Juan Carlos Cortés González.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13382"/>
    <w:multiLevelType w:val="hybridMultilevel"/>
    <w:tmpl w:val="1236FCE0"/>
    <w:lvl w:ilvl="0" w:tplc="01628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10F99"/>
    <w:multiLevelType w:val="multilevel"/>
    <w:tmpl w:val="44A00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586632">
    <w:abstractNumId w:val="1"/>
  </w:num>
  <w:num w:numId="2" w16cid:durableId="29171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CA"/>
    <w:rsid w:val="00171C95"/>
    <w:rsid w:val="0022629D"/>
    <w:rsid w:val="007C39CA"/>
  </w:rsids>
  <m:mathPr>
    <m:mathFont m:val="Cambria Math"/>
    <m:brkBin m:val="before"/>
    <m:brkBinSub m:val="--"/>
    <m:smallFrac m:val="0"/>
    <m:dispDef/>
    <m:lMargin m:val="0"/>
    <m:rMargin m:val="0"/>
    <m:defJc m:val="centerGroup"/>
    <m:wrapIndent m:val="1440"/>
    <m:intLim m:val="subSup"/>
    <m:naryLim m:val="undOvr"/>
  </m:mathPr>
  <w:themeFontLang w:val="en-CO"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AE402D"/>
  <w15:docId w15:val="{0E3026FF-E076-BC4F-83C6-D6FB6F3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629D"/>
    <w:pPr>
      <w:ind w:left="720"/>
      <w:contextualSpacing/>
    </w:pPr>
  </w:style>
  <w:style w:type="character" w:styleId="Hyperlink">
    <w:name w:val="Hyperlink"/>
    <w:basedOn w:val="DefaultParagraphFont"/>
    <w:uiPriority w:val="99"/>
    <w:unhideWhenUsed/>
    <w:rsid w:val="0022629D"/>
    <w:rPr>
      <w:color w:val="0000FF" w:themeColor="hyperlink"/>
      <w:u w:val="single"/>
    </w:rPr>
  </w:style>
  <w:style w:type="character" w:styleId="UnresolvedMention">
    <w:name w:val="Unresolved Mention"/>
    <w:basedOn w:val="DefaultParagraphFont"/>
    <w:uiPriority w:val="99"/>
    <w:semiHidden/>
    <w:unhideWhenUsed/>
    <w:rsid w:val="0022629D"/>
    <w:rPr>
      <w:color w:val="605E5C"/>
      <w:shd w:val="clear" w:color="auto" w:fill="E1DFDD"/>
    </w:rPr>
  </w:style>
  <w:style w:type="character" w:styleId="FollowedHyperlink">
    <w:name w:val="FollowedHyperlink"/>
    <w:basedOn w:val="DefaultParagraphFont"/>
    <w:uiPriority w:val="99"/>
    <w:semiHidden/>
    <w:unhideWhenUsed/>
    <w:rsid w:val="00226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uin-juriscol.gov.co/viewDocument.asp?id=30039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Rojas Molina</cp:lastModifiedBy>
  <cp:revision>2</cp:revision>
  <dcterms:created xsi:type="dcterms:W3CDTF">2024-02-14T15:33:00Z</dcterms:created>
  <dcterms:modified xsi:type="dcterms:W3CDTF">2024-02-14T15:43:00Z</dcterms:modified>
</cp:coreProperties>
</file>